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CCEB5" w14:textId="491E8F0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D6E9B">
        <w:rPr>
          <w:rFonts w:ascii="Calibri" w:hAnsi="Calibri"/>
        </w:rPr>
        <w:t>ENG</w:t>
      </w:r>
      <w:r w:rsidR="00F4308B">
        <w:rPr>
          <w:rFonts w:ascii="Calibri" w:hAnsi="Calibri"/>
        </w:rPr>
        <w:t>9</w:t>
      </w:r>
      <w:r w:rsidRPr="007A395D">
        <w:rPr>
          <w:rFonts w:ascii="Calibri" w:hAnsi="Calibri"/>
        </w:rPr>
        <w:t>-</w:t>
      </w:r>
      <w:r w:rsidR="00C11A09">
        <w:rPr>
          <w:rFonts w:ascii="Calibri" w:hAnsi="Calibri"/>
        </w:rPr>
        <w:t>2.1.12</w:t>
      </w:r>
    </w:p>
    <w:p w14:paraId="3142DFC7" w14:textId="77777777" w:rsidR="00BF32F0" w:rsidRPr="007A395D" w:rsidRDefault="00BF32F0" w:rsidP="00F36489">
      <w:pPr>
        <w:pStyle w:val="BodyText"/>
      </w:pPr>
    </w:p>
    <w:p w14:paraId="6D8FAFF4" w14:textId="77777777" w:rsidR="00D019CE" w:rsidRPr="007A395D" w:rsidRDefault="00D019CE" w:rsidP="00F36489">
      <w:pPr>
        <w:pStyle w:val="BodyText"/>
      </w:pPr>
    </w:p>
    <w:p w14:paraId="3C5E1B9A" w14:textId="77777777" w:rsidR="0080294B" w:rsidRPr="007A395D" w:rsidRDefault="00E558C3" w:rsidP="00F36489">
      <w:pPr>
        <w:pStyle w:val="BodyText"/>
      </w:pPr>
      <w:r w:rsidRPr="007A395D">
        <w:t xml:space="preserve">Input paper for the following Committee(s): </w:t>
      </w:r>
      <w:r w:rsidRPr="007A395D">
        <w:tab/>
      </w:r>
      <w:r w:rsidR="008441C0">
        <w:tab/>
      </w:r>
      <w:r w:rsidR="008441C0">
        <w:tab/>
      </w:r>
      <w:r w:rsidRPr="007A395D">
        <w:rPr>
          <w:sz w:val="18"/>
          <w:szCs w:val="18"/>
        </w:rPr>
        <w:tab/>
      </w:r>
      <w:r w:rsidRPr="007A395D">
        <w:tab/>
        <w:t>Purpose of paper:</w:t>
      </w:r>
    </w:p>
    <w:p w14:paraId="0155B572" w14:textId="77777777"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27DB0">
        <w:tab/>
      </w:r>
      <w:r w:rsidR="008B1776" w:rsidRPr="008B1776">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1C6EE2">
        <w:rPr>
          <w:b/>
        </w:rPr>
        <w:t>X</w:t>
      </w:r>
      <w:r w:rsidRPr="007A395D">
        <w:t xml:space="preserve">  Input</w:t>
      </w:r>
    </w:p>
    <w:p w14:paraId="501E895D" w14:textId="77777777"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88A268" w14:textId="77777777" w:rsidR="0080294B" w:rsidRPr="007A395D" w:rsidRDefault="0080294B" w:rsidP="00F36489">
      <w:pPr>
        <w:pStyle w:val="BodyText"/>
      </w:pPr>
    </w:p>
    <w:p w14:paraId="1ACB4B1F" w14:textId="24FF040F"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80294B" w:rsidRPr="007A395D">
        <w:tab/>
      </w:r>
      <w:r w:rsidR="0080294B" w:rsidRPr="007A395D">
        <w:tab/>
      </w:r>
      <w:r w:rsidR="00C11A09">
        <w:t>2.1</w:t>
      </w:r>
    </w:p>
    <w:p w14:paraId="040DA7DA" w14:textId="77777777"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1AED0388" w14:textId="77777777" w:rsidR="00677FAA" w:rsidRPr="007A395D" w:rsidRDefault="00677FAA" w:rsidP="00677FAA">
      <w:pPr>
        <w:pStyle w:val="BodyText"/>
      </w:pPr>
      <w:r>
        <w:t xml:space="preserve">Working </w:t>
      </w:r>
      <w:r w:rsidRPr="008C6670">
        <w:t>Group</w:t>
      </w:r>
      <w:r w:rsidRPr="008C6670">
        <w:tab/>
      </w:r>
      <w:r w:rsidRPr="008C6670">
        <w:tab/>
      </w:r>
      <w:r w:rsidRPr="008C6670">
        <w:tab/>
      </w:r>
      <w:r w:rsidRPr="008C6670">
        <w:tab/>
      </w:r>
      <w:r w:rsidRPr="008C6670">
        <w:tab/>
      </w:r>
      <w:r w:rsidR="00CC2DCC" w:rsidRPr="008C6670">
        <w:t xml:space="preserve">WG  </w:t>
      </w:r>
      <w:r w:rsidR="005D5D4F" w:rsidRPr="008C6670">
        <w:t>3</w:t>
      </w:r>
    </w:p>
    <w:p w14:paraId="3706B6AC" w14:textId="6A2865C5" w:rsidR="008356A1" w:rsidRPr="008356A1" w:rsidRDefault="00362CD9" w:rsidP="008356A1">
      <w:pPr>
        <w:pStyle w:val="BodyText"/>
        <w:rPr>
          <w:lang w:val="es-ES"/>
        </w:rPr>
      </w:pPr>
      <w:proofErr w:type="spellStart"/>
      <w:r w:rsidRPr="008356A1">
        <w:rPr>
          <w:lang w:val="es-ES"/>
        </w:rPr>
        <w:t>Author</w:t>
      </w:r>
      <w:proofErr w:type="spellEnd"/>
      <w:r w:rsidRPr="008356A1">
        <w:rPr>
          <w:lang w:val="es-ES"/>
        </w:rPr>
        <w:t>(s)</w:t>
      </w:r>
      <w:r w:rsidR="00FE5674" w:rsidRPr="008356A1">
        <w:rPr>
          <w:lang w:val="es-ES"/>
        </w:rPr>
        <w:t xml:space="preserve"> / </w:t>
      </w:r>
      <w:proofErr w:type="spellStart"/>
      <w:r w:rsidR="00FE5674" w:rsidRPr="008356A1">
        <w:rPr>
          <w:lang w:val="es-ES"/>
        </w:rPr>
        <w:t>Submitter</w:t>
      </w:r>
      <w:proofErr w:type="spellEnd"/>
      <w:r w:rsidR="00FE5674" w:rsidRPr="008356A1">
        <w:rPr>
          <w:lang w:val="es-ES"/>
        </w:rPr>
        <w:t>(s)</w:t>
      </w:r>
      <w:r w:rsidRPr="008356A1">
        <w:rPr>
          <w:lang w:val="es-ES"/>
        </w:rPr>
        <w:tab/>
      </w:r>
      <w:r w:rsidR="0080294B" w:rsidRPr="008356A1">
        <w:rPr>
          <w:lang w:val="es-ES"/>
        </w:rPr>
        <w:tab/>
      </w:r>
      <w:r w:rsidR="0080294B" w:rsidRPr="008356A1">
        <w:rPr>
          <w:lang w:val="es-ES"/>
        </w:rPr>
        <w:tab/>
      </w:r>
      <w:r w:rsidR="00677FAA" w:rsidRPr="008356A1">
        <w:rPr>
          <w:lang w:val="es-ES"/>
        </w:rPr>
        <w:tab/>
      </w:r>
      <w:bookmarkStart w:id="0" w:name="_GoBack"/>
      <w:r w:rsidR="008356A1">
        <w:rPr>
          <w:rFonts w:asciiTheme="minorHAnsi" w:hAnsiTheme="minorHAnsi"/>
          <w:lang w:val="es-ES"/>
        </w:rPr>
        <w:t>M. López</w:t>
      </w:r>
      <w:bookmarkEnd w:id="0"/>
      <w:r w:rsidR="008356A1">
        <w:rPr>
          <w:rFonts w:asciiTheme="minorHAnsi" w:hAnsiTheme="minorHAnsi"/>
          <w:lang w:val="es-ES"/>
        </w:rPr>
        <w:t>, GSA; M</w:t>
      </w:r>
      <w:r w:rsidR="008356A1" w:rsidRPr="005F65E8">
        <w:rPr>
          <w:rFonts w:asciiTheme="minorHAnsi" w:hAnsiTheme="minorHAnsi"/>
          <w:lang w:val="es-ES"/>
        </w:rPr>
        <w:t xml:space="preserve">. </w:t>
      </w:r>
      <w:r w:rsidR="008356A1">
        <w:rPr>
          <w:rFonts w:asciiTheme="minorHAnsi" w:hAnsiTheme="minorHAnsi"/>
          <w:lang w:val="es-ES"/>
        </w:rPr>
        <w:t>Cano</w:t>
      </w:r>
      <w:r w:rsidR="008356A1" w:rsidRPr="005F65E8">
        <w:rPr>
          <w:rFonts w:asciiTheme="minorHAnsi" w:hAnsiTheme="minorHAnsi"/>
          <w:lang w:val="es-ES"/>
        </w:rPr>
        <w:t>, R. Martínez ALG; C. Álvarez, L. Tavira, Indra; J. Morán, V. Antón</w:t>
      </w:r>
      <w:r w:rsidR="008356A1">
        <w:rPr>
          <w:rFonts w:asciiTheme="minorHAnsi" w:hAnsiTheme="minorHAnsi"/>
          <w:lang w:val="es-ES"/>
        </w:rPr>
        <w:t>, J. Álvarez</w:t>
      </w:r>
      <w:r w:rsidR="008356A1" w:rsidRPr="005F65E8">
        <w:rPr>
          <w:rFonts w:asciiTheme="minorHAnsi" w:hAnsiTheme="minorHAnsi"/>
          <w:lang w:val="es-ES"/>
        </w:rPr>
        <w:t xml:space="preserve">, ESSP SAS </w:t>
      </w:r>
    </w:p>
    <w:p w14:paraId="7153CDAF" w14:textId="77777777" w:rsidR="008356A1" w:rsidRPr="008356A1" w:rsidRDefault="008356A1" w:rsidP="00F36489">
      <w:pPr>
        <w:pStyle w:val="BodyText"/>
        <w:rPr>
          <w:color w:val="FF0000"/>
          <w:lang w:val="es-ES"/>
        </w:rPr>
      </w:pPr>
    </w:p>
    <w:p w14:paraId="3ADB35E3" w14:textId="77777777" w:rsidR="0080294B" w:rsidRPr="008356A1" w:rsidRDefault="0080294B" w:rsidP="00F36489">
      <w:pPr>
        <w:pStyle w:val="BodyText"/>
        <w:rPr>
          <w:lang w:val="es-ES"/>
        </w:rPr>
      </w:pPr>
    </w:p>
    <w:p w14:paraId="06AF1B56" w14:textId="77777777" w:rsidR="00A446C9" w:rsidRPr="00CC2DCC" w:rsidRDefault="001C6EE2" w:rsidP="00F36489">
      <w:pPr>
        <w:pStyle w:val="Title"/>
        <w:rPr>
          <w:color w:val="00558C"/>
        </w:rPr>
      </w:pPr>
      <w:bookmarkStart w:id="1" w:name="_Hlk2242304"/>
      <w:r w:rsidRPr="001C6EE2">
        <w:rPr>
          <w:color w:val="00558C"/>
        </w:rPr>
        <w:t>Pilot project for the transmission of SBAS corrections via IALA beacons and AIS for Maritime and IWW – Main Outcomes</w:t>
      </w:r>
    </w:p>
    <w:bookmarkEnd w:id="1"/>
    <w:p w14:paraId="06B86BDE" w14:textId="77777777" w:rsidR="00A446C9" w:rsidRPr="004D4B1B" w:rsidRDefault="00A446C9" w:rsidP="009B5263">
      <w:pPr>
        <w:pStyle w:val="Heading1"/>
      </w:pPr>
      <w:r w:rsidRPr="009B5263">
        <w:t>Summary</w:t>
      </w:r>
    </w:p>
    <w:p w14:paraId="6C0ECAE9" w14:textId="77777777" w:rsidR="00C779D8" w:rsidRPr="007A395D" w:rsidRDefault="008B1776" w:rsidP="00F36489">
      <w:pPr>
        <w:pStyle w:val="BodyText"/>
      </w:pPr>
      <w:r>
        <w:t xml:space="preserve">This paper is aimed at presenting the </w:t>
      </w:r>
      <w:r w:rsidR="00277462">
        <w:t>operational benefits</w:t>
      </w:r>
      <w:r>
        <w:t xml:space="preserve"> and recommendations identified in the SC24 pilot project</w:t>
      </w:r>
      <w:r w:rsidR="00C779D8">
        <w:t xml:space="preserve"> </w:t>
      </w:r>
      <w:r w:rsidR="00C779D8">
        <w:fldChar w:fldCharType="begin"/>
      </w:r>
      <w:r w:rsidR="00C779D8">
        <w:instrText xml:space="preserve"> REF _Ref535491473 \r \h </w:instrText>
      </w:r>
      <w:r w:rsidR="00C779D8">
        <w:fldChar w:fldCharType="separate"/>
      </w:r>
      <w:r w:rsidR="007D058C">
        <w:t>[2]</w:t>
      </w:r>
      <w:r w:rsidR="00C779D8">
        <w:fldChar w:fldCharType="end"/>
      </w:r>
      <w:r>
        <w:t xml:space="preserve"> funded by the European GNSS Agency. The main objective of this project was </w:t>
      </w:r>
      <w:r w:rsidRPr="00890133">
        <w:t>to demonstrate the operational performance of the transmission of EGNOS corrections converted to Differential GPS corrections over the existing transmission infrastructure (AIS base stations/IALA beacons) in the Maritime and Inland Waterways domains, while providing a detailed cost benefit analysis of the solutions proposed</w:t>
      </w:r>
      <w:r>
        <w:t>.</w:t>
      </w:r>
    </w:p>
    <w:p w14:paraId="0E8B2D61" w14:textId="77777777" w:rsidR="001C44A3" w:rsidRPr="00605E43" w:rsidRDefault="00BD4E6F" w:rsidP="00605E43">
      <w:pPr>
        <w:pStyle w:val="Heading2"/>
      </w:pPr>
      <w:r w:rsidRPr="00605E43">
        <w:t>Purpose</w:t>
      </w:r>
      <w:r w:rsidR="004D1D85" w:rsidRPr="00605E43">
        <w:t xml:space="preserve"> of the document</w:t>
      </w:r>
    </w:p>
    <w:p w14:paraId="0C58A8E6" w14:textId="77777777" w:rsidR="00E55927" w:rsidRDefault="008B1776" w:rsidP="00F36489">
      <w:pPr>
        <w:pStyle w:val="BodyText"/>
      </w:pPr>
      <w:r>
        <w:t>The purpose of the document is twofold:</w:t>
      </w:r>
    </w:p>
    <w:p w14:paraId="40543E0C" w14:textId="77777777" w:rsidR="008B1776" w:rsidRDefault="00C779D8" w:rsidP="00727E99">
      <w:pPr>
        <w:pStyle w:val="BodyText"/>
        <w:numPr>
          <w:ilvl w:val="0"/>
          <w:numId w:val="19"/>
        </w:numPr>
      </w:pPr>
      <w:r>
        <w:t xml:space="preserve">To present the </w:t>
      </w:r>
      <w:r w:rsidR="007865BE">
        <w:t xml:space="preserve">main outcomes of the SC24 pilot project </w:t>
      </w:r>
      <w:r w:rsidR="007865BE">
        <w:fldChar w:fldCharType="begin"/>
      </w:r>
      <w:r w:rsidR="007865BE">
        <w:instrText xml:space="preserve"> REF _Ref535491473 \r \h </w:instrText>
      </w:r>
      <w:r w:rsidR="007865BE">
        <w:fldChar w:fldCharType="separate"/>
      </w:r>
      <w:r w:rsidR="007D058C">
        <w:t>[2]</w:t>
      </w:r>
      <w:r w:rsidR="007865BE">
        <w:fldChar w:fldCharType="end"/>
      </w:r>
      <w:r w:rsidR="007865BE">
        <w:t xml:space="preserve"> and</w:t>
      </w:r>
      <w:r>
        <w:t xml:space="preserve"> </w:t>
      </w:r>
      <w:r w:rsidR="007865BE">
        <w:t xml:space="preserve">propose some updates to the IALA SBAS Guidelines </w:t>
      </w:r>
      <w:r w:rsidR="007865BE">
        <w:rPr>
          <w:lang w:eastAsia="de-DE"/>
        </w:rPr>
        <w:fldChar w:fldCharType="begin"/>
      </w:r>
      <w:r w:rsidR="007865BE">
        <w:rPr>
          <w:lang w:eastAsia="de-DE"/>
        </w:rPr>
        <w:instrText xml:space="preserve"> REF _Ref535491306 \r \h </w:instrText>
      </w:r>
      <w:r w:rsidR="007865BE">
        <w:rPr>
          <w:lang w:eastAsia="de-DE"/>
        </w:rPr>
      </w:r>
      <w:r w:rsidR="007865BE">
        <w:rPr>
          <w:lang w:eastAsia="de-DE"/>
        </w:rPr>
        <w:fldChar w:fldCharType="separate"/>
      </w:r>
      <w:r w:rsidR="007D058C">
        <w:rPr>
          <w:lang w:eastAsia="de-DE"/>
        </w:rPr>
        <w:t>[1]</w:t>
      </w:r>
      <w:r w:rsidR="007865BE">
        <w:rPr>
          <w:lang w:eastAsia="de-DE"/>
        </w:rPr>
        <w:fldChar w:fldCharType="end"/>
      </w:r>
      <w:r w:rsidR="007865BE">
        <w:rPr>
          <w:lang w:eastAsia="de-DE"/>
        </w:rPr>
        <w:t>.</w:t>
      </w:r>
    </w:p>
    <w:p w14:paraId="7ADD1890" w14:textId="77777777" w:rsidR="007865BE" w:rsidRPr="007A395D" w:rsidRDefault="007865BE" w:rsidP="00727E99">
      <w:pPr>
        <w:pStyle w:val="BodyText"/>
        <w:numPr>
          <w:ilvl w:val="0"/>
          <w:numId w:val="19"/>
        </w:numPr>
      </w:pPr>
      <w:r>
        <w:rPr>
          <w:lang w:eastAsia="de-DE"/>
        </w:rPr>
        <w:t>To present the recommendations derived from the project.</w:t>
      </w:r>
    </w:p>
    <w:p w14:paraId="0F045416" w14:textId="77777777" w:rsidR="00B56BDF" w:rsidRDefault="00B56BDF" w:rsidP="00605E43">
      <w:pPr>
        <w:pStyle w:val="Heading2"/>
      </w:pPr>
      <w:r w:rsidRPr="007A395D">
        <w:t>Related documents</w:t>
      </w:r>
    </w:p>
    <w:p w14:paraId="341A8890" w14:textId="77777777" w:rsidR="007865BE" w:rsidRPr="007865BE" w:rsidRDefault="007865BE" w:rsidP="00727E99">
      <w:pPr>
        <w:pStyle w:val="ListParagraph"/>
        <w:numPr>
          <w:ilvl w:val="0"/>
          <w:numId w:val="19"/>
        </w:numPr>
        <w:rPr>
          <w:rFonts w:ascii="Calibri" w:hAnsi="Calibri"/>
        </w:rPr>
      </w:pPr>
      <w:r w:rsidRPr="007865BE">
        <w:rPr>
          <w:rFonts w:ascii="Calibri" w:hAnsi="Calibri"/>
        </w:rPr>
        <w:t>IALA G1129 THE RETRANSMISSION OF SBAS CORRECTIONS USING MF-RADIO BEACON AND AIS</w:t>
      </w:r>
    </w:p>
    <w:p w14:paraId="78F5DB78" w14:textId="77777777" w:rsidR="00A446C9" w:rsidRPr="007A395D" w:rsidRDefault="00A446C9" w:rsidP="00605E43">
      <w:pPr>
        <w:pStyle w:val="Heading1"/>
      </w:pPr>
      <w:r w:rsidRPr="007A395D">
        <w:t>Background</w:t>
      </w:r>
    </w:p>
    <w:p w14:paraId="0AF17EA9" w14:textId="77777777" w:rsidR="00C779D8" w:rsidRDefault="00C779D8" w:rsidP="00C779D8">
      <w:pPr>
        <w:pStyle w:val="BodyText"/>
        <w:rPr>
          <w:lang w:eastAsia="de-DE"/>
        </w:rPr>
      </w:pPr>
      <w:r>
        <w:rPr>
          <w:lang w:eastAsia="de-DE"/>
        </w:rPr>
        <w:t xml:space="preserve">Following the publication of the IALA Guidelines for the use of SBAS </w:t>
      </w:r>
      <w:r>
        <w:rPr>
          <w:lang w:eastAsia="de-DE"/>
        </w:rPr>
        <w:fldChar w:fldCharType="begin"/>
      </w:r>
      <w:r>
        <w:rPr>
          <w:lang w:eastAsia="de-DE"/>
        </w:rPr>
        <w:instrText xml:space="preserve"> REF _Ref535491306 \r \h </w:instrText>
      </w:r>
      <w:r>
        <w:rPr>
          <w:lang w:eastAsia="de-DE"/>
        </w:rPr>
      </w:r>
      <w:r>
        <w:rPr>
          <w:lang w:eastAsia="de-DE"/>
        </w:rPr>
        <w:fldChar w:fldCharType="separate"/>
      </w:r>
      <w:r w:rsidR="007D058C">
        <w:rPr>
          <w:lang w:eastAsia="de-DE"/>
        </w:rPr>
        <w:t>[1]</w:t>
      </w:r>
      <w:r>
        <w:rPr>
          <w:lang w:eastAsia="de-DE"/>
        </w:rPr>
        <w:fldChar w:fldCharType="end"/>
      </w:r>
      <w:r>
        <w:rPr>
          <w:lang w:eastAsia="de-DE"/>
        </w:rPr>
        <w:t xml:space="preserve"> as well as the recommendations from the European Maritime </w:t>
      </w:r>
      <w:proofErr w:type="spellStart"/>
      <w:r>
        <w:rPr>
          <w:lang w:eastAsia="de-DE"/>
        </w:rPr>
        <w:t>Radionavigation</w:t>
      </w:r>
      <w:proofErr w:type="spellEnd"/>
      <w:r>
        <w:rPr>
          <w:lang w:eastAsia="de-DE"/>
        </w:rPr>
        <w:t xml:space="preserve"> Forum (EMRF), the European GNSS Agency decided to launch a pilot project to support the adoption of the solutions described in the IALA guidelines by the different maritime and inland waterways authorities.</w:t>
      </w:r>
    </w:p>
    <w:p w14:paraId="6D94DACE" w14:textId="77777777" w:rsidR="00277462" w:rsidRDefault="001C6EE2" w:rsidP="001C6EE2">
      <w:pPr>
        <w:pStyle w:val="BodyText"/>
        <w:keepNext/>
        <w:rPr>
          <w:lang w:eastAsia="de-DE"/>
        </w:rPr>
      </w:pPr>
      <w:r>
        <w:rPr>
          <w:lang w:eastAsia="de-DE"/>
        </w:rPr>
        <w:lastRenderedPageBreak/>
        <w:t xml:space="preserve">During 6 months, </w:t>
      </w:r>
      <w:r w:rsidR="00277462">
        <w:rPr>
          <w:lang w:eastAsia="de-DE"/>
        </w:rPr>
        <w:t>4</w:t>
      </w:r>
      <w:r w:rsidR="00277462" w:rsidRPr="00277462">
        <w:rPr>
          <w:lang w:eastAsia="de-DE"/>
        </w:rPr>
        <w:t xml:space="preserve"> European scenarios</w:t>
      </w:r>
      <w:r w:rsidR="00277462">
        <w:rPr>
          <w:lang w:eastAsia="de-DE"/>
        </w:rPr>
        <w:t xml:space="preserve"> representing a </w:t>
      </w:r>
      <w:r w:rsidR="00277462" w:rsidRPr="00277462">
        <w:rPr>
          <w:lang w:eastAsia="de-DE"/>
        </w:rPr>
        <w:t xml:space="preserve">fair combination of both IALA beacons and AIS/VDES stations as well as maritime and IWW </w:t>
      </w:r>
      <w:r w:rsidRPr="00277462">
        <w:rPr>
          <w:lang w:eastAsia="de-DE"/>
        </w:rPr>
        <w:t>domains</w:t>
      </w:r>
      <w:r w:rsidR="00277462">
        <w:rPr>
          <w:lang w:eastAsia="de-DE"/>
        </w:rPr>
        <w:t xml:space="preserve"> have been analysed.</w:t>
      </w:r>
    </w:p>
    <w:p w14:paraId="029B00A2" w14:textId="77777777" w:rsidR="00277462" w:rsidRDefault="00277462" w:rsidP="00277462">
      <w:pPr>
        <w:pStyle w:val="BodyText"/>
        <w:jc w:val="center"/>
        <w:rPr>
          <w:lang w:eastAsia="de-DE"/>
        </w:rPr>
      </w:pPr>
      <w:r w:rsidRPr="00FC7301">
        <w:rPr>
          <w:rFonts w:ascii="Tahoma" w:hAnsi="Tahoma" w:cs="Tahoma"/>
          <w:noProof/>
          <w:lang w:val="es-ES" w:eastAsia="es-ES"/>
        </w:rPr>
        <w:drawing>
          <wp:inline distT="0" distB="0" distL="0" distR="0" wp14:anchorId="09D0DF51" wp14:editId="2D13D45C">
            <wp:extent cx="4739005" cy="20858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3487" cy="2096658"/>
                    </a:xfrm>
                    <a:prstGeom prst="rect">
                      <a:avLst/>
                    </a:prstGeom>
                    <a:noFill/>
                  </pic:spPr>
                </pic:pic>
              </a:graphicData>
            </a:graphic>
          </wp:inline>
        </w:drawing>
      </w:r>
    </w:p>
    <w:p w14:paraId="0F73FAA1" w14:textId="77777777" w:rsidR="00C779D8" w:rsidRDefault="00277462" w:rsidP="00277462">
      <w:pPr>
        <w:pStyle w:val="BodyText"/>
        <w:jc w:val="center"/>
        <w:rPr>
          <w:lang w:eastAsia="de-DE"/>
        </w:rPr>
      </w:pPr>
      <w:r w:rsidRPr="008F07D1">
        <w:rPr>
          <w:rFonts w:asciiTheme="minorHAnsi" w:hAnsiTheme="minorHAnsi"/>
        </w:rPr>
        <w:t xml:space="preserve">Figure </w:t>
      </w:r>
      <w:r w:rsidRPr="008F07D1">
        <w:rPr>
          <w:rFonts w:asciiTheme="minorHAnsi" w:hAnsiTheme="minorHAnsi"/>
        </w:rPr>
        <w:fldChar w:fldCharType="begin"/>
      </w:r>
      <w:r w:rsidRPr="008F07D1">
        <w:rPr>
          <w:rFonts w:asciiTheme="minorHAnsi" w:hAnsiTheme="minorHAnsi"/>
        </w:rPr>
        <w:instrText xml:space="preserve"> SEQ Figure \* ARABIC </w:instrText>
      </w:r>
      <w:r w:rsidRPr="008F07D1">
        <w:rPr>
          <w:rFonts w:asciiTheme="minorHAnsi" w:hAnsiTheme="minorHAnsi"/>
        </w:rPr>
        <w:fldChar w:fldCharType="separate"/>
      </w:r>
      <w:r w:rsidR="007D058C">
        <w:rPr>
          <w:rFonts w:asciiTheme="minorHAnsi" w:hAnsiTheme="minorHAnsi"/>
          <w:noProof/>
        </w:rPr>
        <w:t>1</w:t>
      </w:r>
      <w:r w:rsidRPr="008F07D1">
        <w:rPr>
          <w:rFonts w:asciiTheme="minorHAnsi" w:hAnsiTheme="minorHAnsi"/>
        </w:rPr>
        <w:fldChar w:fldCharType="end"/>
      </w:r>
      <w:r>
        <w:rPr>
          <w:rFonts w:asciiTheme="minorHAnsi" w:hAnsiTheme="minorHAnsi"/>
        </w:rPr>
        <w:t xml:space="preserve">: </w:t>
      </w:r>
      <w:r w:rsidRPr="00277462">
        <w:rPr>
          <w:rFonts w:asciiTheme="minorHAnsi" w:hAnsiTheme="minorHAnsi"/>
        </w:rPr>
        <w:t>Pilot project locations and architectures/domains</w:t>
      </w:r>
    </w:p>
    <w:p w14:paraId="6F62B9AC" w14:textId="77777777" w:rsidR="00A446C9" w:rsidRDefault="00A446C9" w:rsidP="007865BE">
      <w:pPr>
        <w:pStyle w:val="Heading1"/>
      </w:pPr>
      <w:r w:rsidRPr="007A395D">
        <w:t>Discussion</w:t>
      </w:r>
    </w:p>
    <w:p w14:paraId="3AB0E794" w14:textId="62FDE25B" w:rsidR="008C09C8" w:rsidRPr="004A2C0C" w:rsidRDefault="004A2C0C" w:rsidP="004A2C0C">
      <w:pPr>
        <w:pStyle w:val="Heading2"/>
        <w:rPr>
          <w:lang w:eastAsia="de-DE"/>
        </w:rPr>
      </w:pPr>
      <w:r>
        <w:rPr>
          <w:lang w:eastAsia="de-DE"/>
        </w:rPr>
        <w:t xml:space="preserve">Pilot Project </w:t>
      </w:r>
      <w:r w:rsidR="008C09C8" w:rsidRPr="004A2C0C">
        <w:rPr>
          <w:lang w:eastAsia="de-DE"/>
        </w:rPr>
        <w:t>Performanc</w:t>
      </w:r>
      <w:r>
        <w:rPr>
          <w:lang w:eastAsia="de-DE"/>
        </w:rPr>
        <w:t>e</w:t>
      </w:r>
    </w:p>
    <w:p w14:paraId="47E3A9F1" w14:textId="77777777" w:rsidR="008C09C8" w:rsidRPr="00D61E22" w:rsidRDefault="008C09C8" w:rsidP="00D61E22">
      <w:pPr>
        <w:spacing w:after="120"/>
        <w:rPr>
          <w:rFonts w:asciiTheme="minorHAnsi" w:hAnsiTheme="minorHAnsi"/>
          <w:color w:val="000000"/>
        </w:rPr>
      </w:pPr>
      <w:r w:rsidRPr="00D61E22">
        <w:rPr>
          <w:rFonts w:asciiTheme="minorHAnsi" w:hAnsiTheme="minorHAnsi"/>
          <w:color w:val="000000"/>
        </w:rPr>
        <w:t>The following table summarizes the results obtained during pilot projects test campaign:</w:t>
      </w:r>
    </w:p>
    <w:tbl>
      <w:tblPr>
        <w:tblW w:w="10203" w:type="dxa"/>
        <w:tblLayout w:type="fixed"/>
        <w:tblCellMar>
          <w:left w:w="0" w:type="dxa"/>
          <w:right w:w="0" w:type="dxa"/>
        </w:tblCellMar>
        <w:tblLook w:val="04A0" w:firstRow="1" w:lastRow="0" w:firstColumn="1" w:lastColumn="0" w:noHBand="0" w:noVBand="1"/>
      </w:tblPr>
      <w:tblGrid>
        <w:gridCol w:w="1507"/>
        <w:gridCol w:w="1751"/>
        <w:gridCol w:w="1559"/>
        <w:gridCol w:w="1843"/>
        <w:gridCol w:w="3543"/>
      </w:tblGrid>
      <w:tr w:rsidR="008C09C8" w:rsidRPr="008C09C8" w14:paraId="1413D664" w14:textId="77777777" w:rsidTr="007D058C">
        <w:trPr>
          <w:trHeight w:val="675"/>
        </w:trPr>
        <w:tc>
          <w:tcPr>
            <w:tcW w:w="1507"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5AA47610" w14:textId="77777777" w:rsidR="008C09C8" w:rsidRPr="001C6209" w:rsidRDefault="008C09C8" w:rsidP="007D058C">
            <w:pPr>
              <w:jc w:val="center"/>
              <w:rPr>
                <w:rFonts w:asciiTheme="minorHAnsi" w:hAnsiTheme="minorHAnsi" w:cstheme="minorHAnsi"/>
                <w:color w:val="FFFFFF"/>
                <w:sz w:val="18"/>
              </w:rPr>
            </w:pPr>
            <w:r w:rsidRPr="001C6209">
              <w:rPr>
                <w:rFonts w:asciiTheme="minorHAnsi" w:hAnsiTheme="minorHAnsi" w:cstheme="minorHAnsi"/>
                <w:b/>
                <w:bCs/>
                <w:color w:val="FFFFFF"/>
                <w:sz w:val="18"/>
              </w:rPr>
              <w:t>Pilot Project</w:t>
            </w:r>
          </w:p>
        </w:tc>
        <w:tc>
          <w:tcPr>
            <w:tcW w:w="1751"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7252291D" w14:textId="77777777" w:rsidR="008C09C8" w:rsidRPr="004A2C0C" w:rsidRDefault="008C09C8" w:rsidP="007D058C">
            <w:pPr>
              <w:jc w:val="center"/>
              <w:rPr>
                <w:rFonts w:asciiTheme="minorHAnsi" w:hAnsiTheme="minorHAnsi" w:cstheme="minorHAnsi"/>
                <w:color w:val="FFFFFF"/>
                <w:sz w:val="18"/>
              </w:rPr>
            </w:pPr>
            <w:r w:rsidRPr="004A2C0C">
              <w:rPr>
                <w:rFonts w:asciiTheme="minorHAnsi" w:hAnsiTheme="minorHAnsi" w:cstheme="minorHAnsi"/>
                <w:b/>
                <w:bCs/>
                <w:color w:val="FFFFFF"/>
                <w:sz w:val="18"/>
              </w:rPr>
              <w:t>Availability</w:t>
            </w:r>
          </w:p>
        </w:tc>
        <w:tc>
          <w:tcPr>
            <w:tcW w:w="1559"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55002D8D" w14:textId="77777777" w:rsidR="008C09C8" w:rsidRPr="004A2C0C" w:rsidRDefault="008C09C8" w:rsidP="007D058C">
            <w:pPr>
              <w:jc w:val="center"/>
              <w:rPr>
                <w:rFonts w:asciiTheme="minorHAnsi" w:hAnsiTheme="minorHAnsi" w:cstheme="minorHAnsi"/>
                <w:color w:val="FFFFFF"/>
                <w:sz w:val="18"/>
              </w:rPr>
            </w:pPr>
            <w:r w:rsidRPr="004A2C0C">
              <w:rPr>
                <w:rFonts w:asciiTheme="minorHAnsi" w:hAnsiTheme="minorHAnsi" w:cstheme="minorHAnsi"/>
                <w:b/>
                <w:bCs/>
                <w:color w:val="FFFFFF"/>
                <w:sz w:val="18"/>
              </w:rPr>
              <w:t>Continuity</w:t>
            </w:r>
          </w:p>
        </w:tc>
        <w:tc>
          <w:tcPr>
            <w:tcW w:w="1843"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02E06958" w14:textId="77777777" w:rsidR="008C09C8" w:rsidRPr="004A2C0C" w:rsidRDefault="008C09C8" w:rsidP="007D058C">
            <w:pPr>
              <w:jc w:val="center"/>
              <w:rPr>
                <w:rFonts w:asciiTheme="minorHAnsi" w:hAnsiTheme="minorHAnsi" w:cstheme="minorHAnsi"/>
                <w:color w:val="FFFFFF"/>
                <w:sz w:val="18"/>
              </w:rPr>
            </w:pPr>
            <w:r w:rsidRPr="004A2C0C">
              <w:rPr>
                <w:rFonts w:asciiTheme="minorHAnsi" w:hAnsiTheme="minorHAnsi" w:cstheme="minorHAnsi"/>
                <w:b/>
                <w:bCs/>
                <w:color w:val="FFFFFF"/>
                <w:sz w:val="18"/>
              </w:rPr>
              <w:t>Accuracy (95%, m)</w:t>
            </w:r>
          </w:p>
        </w:tc>
        <w:tc>
          <w:tcPr>
            <w:tcW w:w="3543"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763616C1" w14:textId="77777777" w:rsidR="008C09C8" w:rsidRPr="004A2C0C" w:rsidRDefault="008C09C8" w:rsidP="007D058C">
            <w:pPr>
              <w:jc w:val="center"/>
              <w:rPr>
                <w:rFonts w:asciiTheme="minorHAnsi" w:hAnsiTheme="minorHAnsi" w:cstheme="minorHAnsi"/>
                <w:color w:val="FFFFFF"/>
                <w:sz w:val="18"/>
              </w:rPr>
            </w:pPr>
            <w:r w:rsidRPr="004A2C0C">
              <w:rPr>
                <w:rFonts w:asciiTheme="minorHAnsi" w:hAnsiTheme="minorHAnsi" w:cstheme="minorHAnsi"/>
                <w:b/>
                <w:bCs/>
                <w:color w:val="FFFFFF"/>
                <w:sz w:val="18"/>
              </w:rPr>
              <w:t>Integrity</w:t>
            </w:r>
          </w:p>
        </w:tc>
      </w:tr>
      <w:tr w:rsidR="008C09C8" w:rsidRPr="008C09C8" w14:paraId="61FA26EC" w14:textId="77777777" w:rsidTr="007D058C">
        <w:trPr>
          <w:trHeight w:val="493"/>
        </w:trPr>
        <w:tc>
          <w:tcPr>
            <w:tcW w:w="1507"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hideMark/>
          </w:tcPr>
          <w:p w14:paraId="58147080" w14:textId="77777777" w:rsidR="008C09C8" w:rsidRPr="004A2C0C" w:rsidRDefault="008C09C8" w:rsidP="007D058C">
            <w:pPr>
              <w:rPr>
                <w:rFonts w:asciiTheme="minorHAnsi" w:hAnsiTheme="minorHAnsi" w:cstheme="minorHAnsi"/>
                <w:sz w:val="18"/>
              </w:rPr>
            </w:pPr>
            <w:r w:rsidRPr="001C6209">
              <w:rPr>
                <w:rFonts w:asciiTheme="minorHAnsi" w:hAnsiTheme="minorHAnsi" w:cstheme="minorHAnsi"/>
                <w:b/>
                <w:bCs/>
                <w:sz w:val="18"/>
              </w:rPr>
              <w:t>HU (RSOE, Budapest)</w:t>
            </w:r>
          </w:p>
        </w:tc>
        <w:tc>
          <w:tcPr>
            <w:tcW w:w="1751" w:type="dxa"/>
            <w:tcBorders>
              <w:top w:val="single" w:sz="2" w:space="0" w:color="191C1F"/>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232CC4DB" w14:textId="77777777" w:rsidR="008C09C8" w:rsidRPr="001C6209" w:rsidRDefault="008C09C8" w:rsidP="007D058C">
            <w:pPr>
              <w:jc w:val="center"/>
              <w:rPr>
                <w:rFonts w:asciiTheme="minorHAnsi" w:hAnsiTheme="minorHAnsi" w:cstheme="minorHAnsi"/>
                <w:b/>
                <w:sz w:val="18"/>
              </w:rPr>
            </w:pPr>
            <w:r w:rsidRPr="00D61E22">
              <w:rPr>
                <w:rFonts w:asciiTheme="minorHAnsi" w:hAnsiTheme="minorHAnsi"/>
                <w:b/>
                <w:sz w:val="18"/>
              </w:rPr>
              <w:t>99.98 %</w:t>
            </w:r>
          </w:p>
        </w:tc>
        <w:tc>
          <w:tcPr>
            <w:tcW w:w="1559" w:type="dxa"/>
            <w:tcBorders>
              <w:top w:val="single" w:sz="2" w:space="0" w:color="191C1F"/>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0788BDAF" w14:textId="77777777" w:rsidR="008C09C8" w:rsidRPr="00D61E22" w:rsidRDefault="008C09C8" w:rsidP="007D058C">
            <w:pPr>
              <w:jc w:val="center"/>
              <w:rPr>
                <w:rFonts w:asciiTheme="minorHAnsi" w:hAnsiTheme="minorHAnsi" w:cs="Arial"/>
                <w:b/>
                <w:bCs/>
                <w:color w:val="000000"/>
                <w:sz w:val="18"/>
                <w:vertAlign w:val="superscript"/>
              </w:rPr>
            </w:pPr>
            <w:r w:rsidRPr="00D61E22">
              <w:rPr>
                <w:rFonts w:asciiTheme="minorHAnsi" w:hAnsiTheme="minorHAnsi" w:cs="Arial"/>
                <w:b/>
                <w:bCs/>
                <w:color w:val="000000"/>
                <w:sz w:val="18"/>
              </w:rPr>
              <w:t>99.95 %</w:t>
            </w:r>
            <w:r w:rsidRPr="00D61E22">
              <w:rPr>
                <w:rStyle w:val="FootnoteReference"/>
                <w:rFonts w:asciiTheme="minorHAnsi" w:hAnsiTheme="minorHAnsi" w:cs="Arial"/>
                <w:b/>
                <w:bCs/>
                <w:color w:val="000000"/>
                <w:sz w:val="18"/>
                <w:vertAlign w:val="superscript"/>
              </w:rPr>
              <w:footnoteReference w:id="3"/>
            </w:r>
          </w:p>
        </w:tc>
        <w:tc>
          <w:tcPr>
            <w:tcW w:w="1843" w:type="dxa"/>
            <w:tcBorders>
              <w:top w:val="single" w:sz="2" w:space="0" w:color="191C1F"/>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23E197ED" w14:textId="77777777" w:rsidR="008C09C8" w:rsidRPr="001C6209" w:rsidRDefault="008C09C8" w:rsidP="007D058C">
            <w:pPr>
              <w:jc w:val="center"/>
              <w:rPr>
                <w:rFonts w:asciiTheme="minorHAnsi" w:hAnsiTheme="minorHAnsi" w:cstheme="minorHAnsi"/>
                <w:b/>
                <w:sz w:val="18"/>
              </w:rPr>
            </w:pPr>
            <w:r w:rsidRPr="00D61E22">
              <w:rPr>
                <w:rFonts w:asciiTheme="minorHAnsi" w:hAnsiTheme="minorHAnsi"/>
                <w:b/>
                <w:sz w:val="18"/>
              </w:rPr>
              <w:t>2.05 m</w:t>
            </w:r>
          </w:p>
        </w:tc>
        <w:tc>
          <w:tcPr>
            <w:tcW w:w="3543" w:type="dxa"/>
            <w:tcBorders>
              <w:top w:val="single" w:sz="2" w:space="0" w:color="191C1F"/>
              <w:left w:val="single" w:sz="2" w:space="0" w:color="191C1F"/>
              <w:bottom w:val="single" w:sz="18" w:space="0" w:color="005A8E"/>
              <w:right w:val="single" w:sz="2" w:space="0" w:color="191C1F"/>
            </w:tcBorders>
            <w:shd w:val="clear" w:color="auto" w:fill="FABF8F" w:themeFill="accent6" w:themeFillTint="99"/>
            <w:tcMar>
              <w:top w:w="15" w:type="dxa"/>
              <w:left w:w="108" w:type="dxa"/>
              <w:bottom w:w="0" w:type="dxa"/>
              <w:right w:w="108" w:type="dxa"/>
            </w:tcMar>
            <w:vAlign w:val="center"/>
          </w:tcPr>
          <w:p w14:paraId="208E1F2A" w14:textId="77777777" w:rsidR="008C09C8" w:rsidRPr="00D61E22" w:rsidRDefault="008C09C8" w:rsidP="007D058C">
            <w:pPr>
              <w:rPr>
                <w:rFonts w:asciiTheme="minorHAnsi" w:hAnsiTheme="minorHAnsi" w:cs="Arial"/>
                <w:color w:val="000000"/>
                <w:sz w:val="18"/>
              </w:rPr>
            </w:pPr>
            <w:proofErr w:type="spellStart"/>
            <w:r w:rsidRPr="00D61E22">
              <w:rPr>
                <w:rFonts w:asciiTheme="minorHAnsi" w:hAnsiTheme="minorHAnsi" w:cs="Arial"/>
                <w:color w:val="000000"/>
                <w:sz w:val="18"/>
                <w:u w:val="single"/>
              </w:rPr>
              <w:t>Pseudorange</w:t>
            </w:r>
            <w:proofErr w:type="spellEnd"/>
            <w:r w:rsidRPr="00D61E22">
              <w:rPr>
                <w:rFonts w:asciiTheme="minorHAnsi" w:hAnsiTheme="minorHAnsi" w:cs="Arial"/>
                <w:color w:val="000000"/>
                <w:sz w:val="18"/>
                <w:u w:val="single"/>
              </w:rPr>
              <w:t xml:space="preserve"> domain</w:t>
            </w:r>
            <w:r w:rsidRPr="00D61E22">
              <w:rPr>
                <w:rFonts w:asciiTheme="minorHAnsi" w:hAnsiTheme="minorHAnsi" w:cs="Arial"/>
                <w:color w:val="000000"/>
                <w:sz w:val="18"/>
              </w:rPr>
              <w:t>: several high PRC residual error events affecting individual low-elevation satellites only</w:t>
            </w:r>
          </w:p>
          <w:p w14:paraId="074E4D5A" w14:textId="77777777" w:rsidR="008C09C8" w:rsidRPr="00D61E22" w:rsidRDefault="008C09C8" w:rsidP="007D058C">
            <w:pPr>
              <w:rPr>
                <w:rFonts w:asciiTheme="minorHAnsi" w:hAnsiTheme="minorHAnsi" w:cs="Arial"/>
                <w:color w:val="000000"/>
                <w:sz w:val="18"/>
              </w:rPr>
            </w:pPr>
            <w:r w:rsidRPr="00D61E22">
              <w:rPr>
                <w:rFonts w:asciiTheme="minorHAnsi" w:hAnsiTheme="minorHAnsi" w:cs="Arial"/>
                <w:color w:val="000000"/>
                <w:sz w:val="18"/>
                <w:u w:val="single"/>
              </w:rPr>
              <w:t>Position domain</w:t>
            </w:r>
            <w:r w:rsidRPr="00D61E22">
              <w:rPr>
                <w:rFonts w:asciiTheme="minorHAnsi" w:hAnsiTheme="minorHAnsi" w:cs="Arial"/>
                <w:color w:val="000000"/>
                <w:sz w:val="18"/>
              </w:rPr>
              <w:t>: 2 major events (both not-monitored) taking several minutes each and 7 short events (most of them not-monitored and a few no data) ranging from a few seconds to a few minutes</w:t>
            </w:r>
          </w:p>
        </w:tc>
      </w:tr>
      <w:tr w:rsidR="008C09C8" w:rsidRPr="008C09C8" w14:paraId="6C53DE65" w14:textId="77777777" w:rsidTr="007D058C">
        <w:trPr>
          <w:trHeight w:val="493"/>
        </w:trPr>
        <w:tc>
          <w:tcPr>
            <w:tcW w:w="1507"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hideMark/>
          </w:tcPr>
          <w:p w14:paraId="54B41289" w14:textId="77777777" w:rsidR="008C09C8" w:rsidRPr="004A2C0C" w:rsidRDefault="008C09C8" w:rsidP="007D058C">
            <w:pPr>
              <w:rPr>
                <w:rFonts w:asciiTheme="minorHAnsi" w:hAnsiTheme="minorHAnsi" w:cstheme="minorHAnsi"/>
                <w:sz w:val="18"/>
              </w:rPr>
            </w:pPr>
            <w:r w:rsidRPr="001C6209">
              <w:rPr>
                <w:rFonts w:asciiTheme="minorHAnsi" w:hAnsiTheme="minorHAnsi" w:cstheme="minorHAnsi"/>
                <w:b/>
                <w:bCs/>
                <w:sz w:val="18"/>
              </w:rPr>
              <w:t>DE (WSV, Koblenz)</w:t>
            </w:r>
          </w:p>
        </w:tc>
        <w:tc>
          <w:tcPr>
            <w:tcW w:w="1751" w:type="dxa"/>
            <w:tcBorders>
              <w:top w:val="single" w:sz="18" w:space="0" w:color="005A8E"/>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1B37F3B4"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99.99 %</w:t>
            </w:r>
          </w:p>
        </w:tc>
        <w:tc>
          <w:tcPr>
            <w:tcW w:w="1559" w:type="dxa"/>
            <w:tcBorders>
              <w:top w:val="single" w:sz="18" w:space="0" w:color="005A8E"/>
              <w:left w:val="single" w:sz="2" w:space="0" w:color="191C1F"/>
              <w:bottom w:val="single" w:sz="18" w:space="0" w:color="005A8E"/>
              <w:right w:val="single" w:sz="2" w:space="0" w:color="191C1F"/>
            </w:tcBorders>
            <w:shd w:val="clear" w:color="auto" w:fill="FF9999"/>
            <w:tcMar>
              <w:top w:w="15" w:type="dxa"/>
              <w:left w:w="108" w:type="dxa"/>
              <w:bottom w:w="0" w:type="dxa"/>
              <w:right w:w="108" w:type="dxa"/>
            </w:tcMar>
            <w:vAlign w:val="center"/>
          </w:tcPr>
          <w:p w14:paraId="4C8D0360"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98.95 %</w:t>
            </w:r>
          </w:p>
        </w:tc>
        <w:tc>
          <w:tcPr>
            <w:tcW w:w="1843" w:type="dxa"/>
            <w:tcBorders>
              <w:top w:val="single" w:sz="18" w:space="0" w:color="005A8E"/>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58C7628C"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1.11 m</w:t>
            </w:r>
          </w:p>
        </w:tc>
        <w:tc>
          <w:tcPr>
            <w:tcW w:w="3543" w:type="dxa"/>
            <w:tcBorders>
              <w:top w:val="single" w:sz="18" w:space="0" w:color="005A8E"/>
              <w:left w:val="single" w:sz="2" w:space="0" w:color="191C1F"/>
              <w:bottom w:val="single" w:sz="18" w:space="0" w:color="005A8E"/>
              <w:right w:val="single" w:sz="2" w:space="0" w:color="191C1F"/>
            </w:tcBorders>
            <w:shd w:val="clear" w:color="auto" w:fill="FABF8F" w:themeFill="accent6" w:themeFillTint="99"/>
            <w:tcMar>
              <w:top w:w="15" w:type="dxa"/>
              <w:left w:w="108" w:type="dxa"/>
              <w:bottom w:w="0" w:type="dxa"/>
              <w:right w:w="108" w:type="dxa"/>
            </w:tcMar>
            <w:vAlign w:val="center"/>
          </w:tcPr>
          <w:p w14:paraId="741C8B8B" w14:textId="77777777" w:rsidR="008C09C8" w:rsidRPr="00D61E22" w:rsidRDefault="008C09C8" w:rsidP="007D058C">
            <w:pPr>
              <w:rPr>
                <w:rFonts w:asciiTheme="minorHAnsi" w:hAnsiTheme="minorHAnsi"/>
                <w:sz w:val="18"/>
              </w:rPr>
            </w:pPr>
            <w:proofErr w:type="spellStart"/>
            <w:r w:rsidRPr="00D61E22">
              <w:rPr>
                <w:rFonts w:asciiTheme="minorHAnsi" w:hAnsiTheme="minorHAnsi"/>
                <w:sz w:val="18"/>
                <w:u w:val="single"/>
              </w:rPr>
              <w:t>Pseudorange</w:t>
            </w:r>
            <w:proofErr w:type="spellEnd"/>
            <w:r w:rsidRPr="00D61E22">
              <w:rPr>
                <w:rFonts w:asciiTheme="minorHAnsi" w:hAnsiTheme="minorHAnsi"/>
                <w:sz w:val="18"/>
                <w:u w:val="single"/>
              </w:rPr>
              <w:t xml:space="preserve"> domain:</w:t>
            </w:r>
            <w:r w:rsidRPr="00D61E22">
              <w:rPr>
                <w:rFonts w:asciiTheme="minorHAnsi" w:hAnsiTheme="minorHAnsi"/>
                <w:sz w:val="18"/>
              </w:rPr>
              <w:t xml:space="preserve"> several high PRC residual error events affecting individual low-elevation satellites only.</w:t>
            </w:r>
          </w:p>
          <w:p w14:paraId="062248EA" w14:textId="77777777" w:rsidR="008C09C8" w:rsidRPr="001C6209" w:rsidRDefault="008C09C8" w:rsidP="007D058C">
            <w:pPr>
              <w:rPr>
                <w:rFonts w:asciiTheme="minorHAnsi" w:hAnsiTheme="minorHAnsi" w:cstheme="minorHAnsi"/>
                <w:sz w:val="18"/>
              </w:rPr>
            </w:pPr>
            <w:r w:rsidRPr="00D61E22">
              <w:rPr>
                <w:rFonts w:asciiTheme="minorHAnsi" w:hAnsiTheme="minorHAnsi"/>
                <w:sz w:val="18"/>
                <w:u w:val="single"/>
              </w:rPr>
              <w:t>Position domain:</w:t>
            </w:r>
            <w:r w:rsidRPr="00D61E22">
              <w:rPr>
                <w:rFonts w:asciiTheme="minorHAnsi" w:hAnsiTheme="minorHAnsi"/>
                <w:sz w:val="18"/>
              </w:rPr>
              <w:t xml:space="preserve"> Lots of short events (unmonitored).</w:t>
            </w:r>
          </w:p>
        </w:tc>
      </w:tr>
      <w:tr w:rsidR="008C09C8" w:rsidRPr="008C09C8" w14:paraId="2E165FD9" w14:textId="77777777" w:rsidTr="007D058C">
        <w:trPr>
          <w:trHeight w:val="493"/>
        </w:trPr>
        <w:tc>
          <w:tcPr>
            <w:tcW w:w="1507"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hideMark/>
          </w:tcPr>
          <w:p w14:paraId="6887BB08" w14:textId="77777777" w:rsidR="008C09C8" w:rsidRPr="001C6209" w:rsidRDefault="008C09C8" w:rsidP="007D058C">
            <w:pPr>
              <w:rPr>
                <w:rFonts w:asciiTheme="minorHAnsi" w:hAnsiTheme="minorHAnsi" w:cstheme="minorHAnsi"/>
                <w:sz w:val="18"/>
              </w:rPr>
            </w:pPr>
            <w:r w:rsidRPr="001C6209">
              <w:rPr>
                <w:rFonts w:asciiTheme="minorHAnsi" w:hAnsiTheme="minorHAnsi" w:cstheme="minorHAnsi"/>
                <w:b/>
                <w:bCs/>
                <w:sz w:val="18"/>
              </w:rPr>
              <w:t>LV (MRCC, Riga)</w:t>
            </w:r>
          </w:p>
        </w:tc>
        <w:tc>
          <w:tcPr>
            <w:tcW w:w="1751" w:type="dxa"/>
            <w:tcBorders>
              <w:top w:val="single" w:sz="18" w:space="0" w:color="005A8E"/>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3A1F02F0"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99.83 %</w:t>
            </w:r>
          </w:p>
        </w:tc>
        <w:tc>
          <w:tcPr>
            <w:tcW w:w="1559" w:type="dxa"/>
            <w:tcBorders>
              <w:top w:val="single" w:sz="18" w:space="0" w:color="005A8E"/>
              <w:left w:val="single" w:sz="2" w:space="0" w:color="191C1F"/>
              <w:bottom w:val="single" w:sz="18" w:space="0" w:color="005A8E"/>
              <w:right w:val="single" w:sz="2" w:space="0" w:color="191C1F"/>
            </w:tcBorders>
            <w:shd w:val="clear" w:color="auto" w:fill="FF9999"/>
            <w:vAlign w:val="center"/>
          </w:tcPr>
          <w:p w14:paraId="52C093A4"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98.98 %</w:t>
            </w:r>
          </w:p>
        </w:tc>
        <w:tc>
          <w:tcPr>
            <w:tcW w:w="1843" w:type="dxa"/>
            <w:tcBorders>
              <w:top w:val="single" w:sz="18" w:space="0" w:color="005A8E"/>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40ECEE58"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3.60 m</w:t>
            </w:r>
          </w:p>
        </w:tc>
        <w:tc>
          <w:tcPr>
            <w:tcW w:w="3543" w:type="dxa"/>
            <w:tcBorders>
              <w:top w:val="single" w:sz="18" w:space="0" w:color="005A8E"/>
              <w:left w:val="single" w:sz="2" w:space="0" w:color="191C1F"/>
              <w:bottom w:val="single" w:sz="18" w:space="0" w:color="005A8E"/>
              <w:right w:val="single" w:sz="2" w:space="0" w:color="191C1F"/>
            </w:tcBorders>
            <w:shd w:val="clear" w:color="auto" w:fill="FABF8F" w:themeFill="accent6" w:themeFillTint="99"/>
            <w:tcMar>
              <w:top w:w="15" w:type="dxa"/>
              <w:left w:w="108" w:type="dxa"/>
              <w:bottom w:w="0" w:type="dxa"/>
              <w:right w:w="108" w:type="dxa"/>
            </w:tcMar>
            <w:vAlign w:val="center"/>
          </w:tcPr>
          <w:p w14:paraId="5C8071CB" w14:textId="77777777" w:rsidR="008C09C8" w:rsidRPr="00D61E22" w:rsidRDefault="008C09C8" w:rsidP="007D058C">
            <w:pPr>
              <w:rPr>
                <w:rFonts w:asciiTheme="minorHAnsi" w:hAnsiTheme="minorHAnsi"/>
                <w:sz w:val="18"/>
              </w:rPr>
            </w:pPr>
            <w:proofErr w:type="spellStart"/>
            <w:r w:rsidRPr="00D61E22">
              <w:rPr>
                <w:rFonts w:asciiTheme="minorHAnsi" w:hAnsiTheme="minorHAnsi"/>
                <w:sz w:val="18"/>
                <w:u w:val="single"/>
              </w:rPr>
              <w:t>Pseudorange</w:t>
            </w:r>
            <w:proofErr w:type="spellEnd"/>
            <w:r w:rsidRPr="00D61E22">
              <w:rPr>
                <w:rFonts w:asciiTheme="minorHAnsi" w:hAnsiTheme="minorHAnsi"/>
                <w:sz w:val="18"/>
                <w:u w:val="single"/>
              </w:rPr>
              <w:t xml:space="preserve"> domain</w:t>
            </w:r>
            <w:r w:rsidRPr="00D61E22">
              <w:rPr>
                <w:rFonts w:asciiTheme="minorHAnsi" w:hAnsiTheme="minorHAnsi"/>
                <w:sz w:val="18"/>
              </w:rPr>
              <w:t>: No events.</w:t>
            </w:r>
          </w:p>
          <w:p w14:paraId="469A720E" w14:textId="77777777" w:rsidR="008C09C8" w:rsidRPr="00D61E22" w:rsidRDefault="008C09C8" w:rsidP="007D058C">
            <w:pPr>
              <w:rPr>
                <w:rFonts w:asciiTheme="minorHAnsi" w:hAnsiTheme="minorHAnsi"/>
                <w:sz w:val="18"/>
              </w:rPr>
            </w:pPr>
            <w:r w:rsidRPr="00D61E22">
              <w:rPr>
                <w:rFonts w:asciiTheme="minorHAnsi" w:hAnsiTheme="minorHAnsi"/>
                <w:sz w:val="18"/>
                <w:u w:val="single"/>
              </w:rPr>
              <w:t>Position domain</w:t>
            </w:r>
            <w:r w:rsidRPr="00D61E22">
              <w:rPr>
                <w:rFonts w:asciiTheme="minorHAnsi" w:hAnsiTheme="minorHAnsi"/>
                <w:sz w:val="18"/>
              </w:rPr>
              <w:t>: Some short events (unmonitored).</w:t>
            </w:r>
          </w:p>
        </w:tc>
      </w:tr>
      <w:tr w:rsidR="008C09C8" w:rsidRPr="008C09C8" w14:paraId="3ACCF16A" w14:textId="77777777" w:rsidTr="007D058C">
        <w:trPr>
          <w:trHeight w:val="493"/>
        </w:trPr>
        <w:tc>
          <w:tcPr>
            <w:tcW w:w="1507"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2B67DCBA" w14:textId="77777777" w:rsidR="008C09C8" w:rsidRPr="001C6209" w:rsidRDefault="008C09C8" w:rsidP="007D058C">
            <w:pPr>
              <w:rPr>
                <w:rFonts w:asciiTheme="minorHAnsi" w:hAnsiTheme="minorHAnsi" w:cstheme="minorHAnsi"/>
                <w:b/>
                <w:bCs/>
                <w:sz w:val="18"/>
              </w:rPr>
            </w:pPr>
            <w:r w:rsidRPr="001C6209">
              <w:rPr>
                <w:rFonts w:asciiTheme="minorHAnsi" w:hAnsiTheme="minorHAnsi" w:cstheme="minorHAnsi"/>
                <w:b/>
                <w:bCs/>
                <w:sz w:val="18"/>
              </w:rPr>
              <w:t>ES (</w:t>
            </w:r>
            <w:proofErr w:type="spellStart"/>
            <w:r w:rsidRPr="001C6209">
              <w:rPr>
                <w:rFonts w:asciiTheme="minorHAnsi" w:hAnsiTheme="minorHAnsi" w:cstheme="minorHAnsi"/>
                <w:b/>
                <w:bCs/>
                <w:sz w:val="18"/>
              </w:rPr>
              <w:t>PdE</w:t>
            </w:r>
            <w:proofErr w:type="spellEnd"/>
            <w:r w:rsidRPr="001C6209">
              <w:rPr>
                <w:rFonts w:asciiTheme="minorHAnsi" w:hAnsiTheme="minorHAnsi" w:cstheme="minorHAnsi"/>
                <w:b/>
                <w:bCs/>
                <w:sz w:val="18"/>
              </w:rPr>
              <w:t>, Rota)</w:t>
            </w:r>
          </w:p>
        </w:tc>
        <w:tc>
          <w:tcPr>
            <w:tcW w:w="1751" w:type="dxa"/>
            <w:tcBorders>
              <w:top w:val="single" w:sz="18" w:space="0" w:color="005A8E"/>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4A8B9DB1"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99.97%</w:t>
            </w:r>
          </w:p>
        </w:tc>
        <w:tc>
          <w:tcPr>
            <w:tcW w:w="1559" w:type="dxa"/>
            <w:tcBorders>
              <w:top w:val="single" w:sz="18" w:space="0" w:color="005A8E"/>
              <w:left w:val="single" w:sz="2" w:space="0" w:color="191C1F"/>
              <w:bottom w:val="single" w:sz="18" w:space="0" w:color="005A8E"/>
              <w:right w:val="single" w:sz="2" w:space="0" w:color="191C1F"/>
            </w:tcBorders>
            <w:shd w:val="clear" w:color="auto" w:fill="FF9999"/>
            <w:vAlign w:val="center"/>
          </w:tcPr>
          <w:p w14:paraId="692D6C22"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99.38%</w:t>
            </w:r>
          </w:p>
        </w:tc>
        <w:tc>
          <w:tcPr>
            <w:tcW w:w="1843" w:type="dxa"/>
            <w:tcBorders>
              <w:top w:val="single" w:sz="18" w:space="0" w:color="005A8E"/>
              <w:left w:val="single" w:sz="2" w:space="0" w:color="191C1F"/>
              <w:bottom w:val="single" w:sz="18" w:space="0" w:color="005A8E"/>
              <w:right w:val="single" w:sz="2" w:space="0" w:color="191C1F"/>
            </w:tcBorders>
            <w:shd w:val="clear" w:color="auto" w:fill="CCFF99"/>
            <w:tcMar>
              <w:top w:w="15" w:type="dxa"/>
              <w:left w:w="108" w:type="dxa"/>
              <w:bottom w:w="0" w:type="dxa"/>
              <w:right w:w="108" w:type="dxa"/>
            </w:tcMar>
            <w:vAlign w:val="center"/>
          </w:tcPr>
          <w:p w14:paraId="0E9A5695" w14:textId="77777777" w:rsidR="008C09C8" w:rsidRPr="001C6209" w:rsidRDefault="008C09C8" w:rsidP="007D058C">
            <w:pPr>
              <w:jc w:val="center"/>
              <w:rPr>
                <w:rFonts w:asciiTheme="minorHAnsi" w:hAnsiTheme="minorHAnsi" w:cstheme="minorHAnsi"/>
                <w:sz w:val="18"/>
              </w:rPr>
            </w:pPr>
            <w:r w:rsidRPr="00D61E22">
              <w:rPr>
                <w:rFonts w:asciiTheme="minorHAnsi" w:hAnsiTheme="minorHAnsi" w:cs="Arial"/>
                <w:b/>
                <w:bCs/>
                <w:color w:val="000000"/>
                <w:sz w:val="18"/>
              </w:rPr>
              <w:t>0.65 m</w:t>
            </w:r>
          </w:p>
        </w:tc>
        <w:tc>
          <w:tcPr>
            <w:tcW w:w="3543" w:type="dxa"/>
            <w:tcBorders>
              <w:top w:val="single" w:sz="18" w:space="0" w:color="005A8E"/>
              <w:left w:val="single" w:sz="2" w:space="0" w:color="191C1F"/>
              <w:bottom w:val="single" w:sz="18" w:space="0" w:color="005A8E"/>
              <w:right w:val="single" w:sz="2" w:space="0" w:color="191C1F"/>
            </w:tcBorders>
            <w:shd w:val="clear" w:color="auto" w:fill="FABF8F" w:themeFill="accent6" w:themeFillTint="99"/>
            <w:tcMar>
              <w:top w:w="15" w:type="dxa"/>
              <w:left w:w="108" w:type="dxa"/>
              <w:bottom w:w="0" w:type="dxa"/>
              <w:right w:w="108" w:type="dxa"/>
            </w:tcMar>
            <w:vAlign w:val="center"/>
          </w:tcPr>
          <w:p w14:paraId="51F839C4" w14:textId="77777777" w:rsidR="008C09C8" w:rsidRPr="001C6209" w:rsidRDefault="008C09C8" w:rsidP="007D058C">
            <w:pPr>
              <w:rPr>
                <w:rFonts w:asciiTheme="minorHAnsi" w:hAnsiTheme="minorHAnsi" w:cstheme="minorHAnsi"/>
                <w:sz w:val="18"/>
              </w:rPr>
            </w:pPr>
            <w:r w:rsidRPr="00D61E22">
              <w:rPr>
                <w:rFonts w:asciiTheme="minorHAnsi" w:hAnsiTheme="minorHAnsi" w:cs="Arial"/>
                <w:color w:val="000000"/>
                <w:kern w:val="24"/>
                <w:sz w:val="18"/>
              </w:rPr>
              <w:t>No integrity events detected.</w:t>
            </w:r>
          </w:p>
        </w:tc>
      </w:tr>
    </w:tbl>
    <w:p w14:paraId="635647D9" w14:textId="77777777" w:rsidR="008C09C8" w:rsidRPr="003C4338" w:rsidRDefault="008C09C8" w:rsidP="008C09C8">
      <w:pPr>
        <w:pStyle w:val="Caption"/>
      </w:pPr>
      <w:r w:rsidRPr="003C4338">
        <w:t xml:space="preserve">Table </w:t>
      </w:r>
      <w:r w:rsidR="00B5051E">
        <w:rPr>
          <w:noProof/>
        </w:rPr>
        <w:fldChar w:fldCharType="begin"/>
      </w:r>
      <w:r w:rsidR="00B5051E">
        <w:rPr>
          <w:noProof/>
        </w:rPr>
        <w:instrText xml:space="preserve"> SEQ Table \* ARABIC </w:instrText>
      </w:r>
      <w:r w:rsidR="00B5051E">
        <w:rPr>
          <w:noProof/>
        </w:rPr>
        <w:fldChar w:fldCharType="separate"/>
      </w:r>
      <w:r w:rsidR="007D058C">
        <w:rPr>
          <w:noProof/>
        </w:rPr>
        <w:t>1</w:t>
      </w:r>
      <w:r w:rsidR="00B5051E">
        <w:rPr>
          <w:noProof/>
        </w:rPr>
        <w:fldChar w:fldCharType="end"/>
      </w:r>
      <w:r w:rsidRPr="003C4338">
        <w:t>: Pilot projects overall performance results</w:t>
      </w:r>
    </w:p>
    <w:p w14:paraId="61A192F0" w14:textId="77777777" w:rsidR="008C09C8" w:rsidRPr="00D61E22" w:rsidRDefault="008C09C8" w:rsidP="008C09C8">
      <w:pPr>
        <w:rPr>
          <w:rFonts w:asciiTheme="minorHAnsi" w:hAnsiTheme="minorHAnsi"/>
          <w:color w:val="000000"/>
        </w:rPr>
      </w:pPr>
      <w:r w:rsidRPr="00D61E22">
        <w:rPr>
          <w:rFonts w:asciiTheme="minorHAnsi" w:hAnsiTheme="minorHAnsi"/>
          <w:color w:val="000000"/>
        </w:rPr>
        <w:t xml:space="preserve">Green cells indicate that the performance is compliant with IMO requirements, whereas red cells indicate the opposite. </w:t>
      </w:r>
    </w:p>
    <w:p w14:paraId="0E8EEE4A" w14:textId="77777777" w:rsidR="008C09C8" w:rsidRPr="00D61E22" w:rsidRDefault="008C09C8" w:rsidP="00D61E22">
      <w:pPr>
        <w:jc w:val="both"/>
        <w:rPr>
          <w:rFonts w:asciiTheme="minorHAnsi" w:hAnsiTheme="minorHAnsi"/>
          <w:color w:val="000000"/>
        </w:rPr>
      </w:pPr>
      <w:r w:rsidRPr="00D61E22">
        <w:rPr>
          <w:rFonts w:asciiTheme="minorHAnsi" w:hAnsiTheme="minorHAnsi"/>
          <w:color w:val="000000"/>
        </w:rPr>
        <w:t xml:space="preserve">Based on these results shown above, it is concluded that the </w:t>
      </w:r>
      <w:r w:rsidRPr="00D61E22">
        <w:rPr>
          <w:rFonts w:asciiTheme="minorHAnsi" w:hAnsiTheme="minorHAnsi"/>
          <w:b/>
          <w:color w:val="000000"/>
        </w:rPr>
        <w:t>availability</w:t>
      </w:r>
      <w:r w:rsidRPr="00D61E22">
        <w:rPr>
          <w:rFonts w:asciiTheme="minorHAnsi" w:hAnsiTheme="minorHAnsi"/>
          <w:color w:val="000000"/>
        </w:rPr>
        <w:t xml:space="preserve"> of the EGNOS-based corrections is enough to meet the 99.8% availability requirement defined by IMO in the A.915 and A.1046 resolutions.</w:t>
      </w:r>
    </w:p>
    <w:p w14:paraId="5D67524C" w14:textId="77777777" w:rsidR="00C3304E" w:rsidRDefault="008C09C8" w:rsidP="00D61E22">
      <w:pPr>
        <w:jc w:val="both"/>
        <w:rPr>
          <w:rFonts w:asciiTheme="minorHAnsi" w:hAnsiTheme="minorHAnsi"/>
          <w:bCs/>
        </w:rPr>
      </w:pPr>
      <w:r w:rsidRPr="00D61E22">
        <w:rPr>
          <w:rFonts w:asciiTheme="minorHAnsi" w:hAnsiTheme="minorHAnsi"/>
        </w:rPr>
        <w:t xml:space="preserve">As it can be derived from the table, the most demanding performance parameter is the </w:t>
      </w:r>
      <w:r w:rsidRPr="00D61E22">
        <w:rPr>
          <w:rFonts w:asciiTheme="minorHAnsi" w:hAnsiTheme="minorHAnsi"/>
          <w:b/>
        </w:rPr>
        <w:t>service continuity</w:t>
      </w:r>
      <w:r w:rsidRPr="00D61E22">
        <w:rPr>
          <w:rFonts w:asciiTheme="minorHAnsi" w:hAnsiTheme="minorHAnsi"/>
        </w:rPr>
        <w:t>. The reason why there are red cells in the table above is</w:t>
      </w:r>
      <w:r w:rsidR="00C3304E">
        <w:rPr>
          <w:rFonts w:asciiTheme="minorHAnsi" w:hAnsiTheme="minorHAnsi"/>
        </w:rPr>
        <w:t xml:space="preserve"> mainly</w:t>
      </w:r>
      <w:r w:rsidRPr="00D61E22">
        <w:rPr>
          <w:rFonts w:asciiTheme="minorHAnsi" w:hAnsiTheme="minorHAnsi"/>
        </w:rPr>
        <w:t xml:space="preserve"> </w:t>
      </w:r>
      <w:r w:rsidRPr="00D61E22">
        <w:rPr>
          <w:rFonts w:asciiTheme="minorHAnsi" w:hAnsiTheme="minorHAnsi"/>
          <w:bCs/>
        </w:rPr>
        <w:t xml:space="preserve">due to missing monitoring raw data to </w:t>
      </w:r>
      <w:r w:rsidRPr="00D61E22">
        <w:rPr>
          <w:rFonts w:asciiTheme="minorHAnsi" w:hAnsiTheme="minorHAnsi"/>
          <w:bCs/>
        </w:rPr>
        <w:lastRenderedPageBreak/>
        <w:t xml:space="preserve">perform the Pre-Broadcast Monitoring (PBM) check. The missing raw data causes short continuity events that have an impact on the parameter calculation. </w:t>
      </w:r>
      <w:r w:rsidR="007E3ABB">
        <w:rPr>
          <w:rFonts w:asciiTheme="minorHAnsi" w:hAnsiTheme="minorHAnsi"/>
          <w:bCs/>
        </w:rPr>
        <w:t>In most of the cases, t</w:t>
      </w:r>
      <w:r w:rsidRPr="00D61E22">
        <w:rPr>
          <w:rFonts w:asciiTheme="minorHAnsi" w:hAnsiTheme="minorHAnsi"/>
          <w:bCs/>
        </w:rPr>
        <w:t xml:space="preserve">hese raw data gaps/delays are due to the fact that pilot projects use conventional communication lines (i.e. not dedicated) to transmit data from the monitoring receiver to the central facility. </w:t>
      </w:r>
    </w:p>
    <w:p w14:paraId="1C58399E" w14:textId="5FCD0DF7" w:rsidR="008C09C8" w:rsidRDefault="008C09C8" w:rsidP="00D61E22">
      <w:pPr>
        <w:jc w:val="both"/>
        <w:rPr>
          <w:rFonts w:asciiTheme="minorHAnsi" w:hAnsiTheme="minorHAnsi"/>
        </w:rPr>
      </w:pPr>
      <w:r w:rsidRPr="00D61E22">
        <w:rPr>
          <w:rFonts w:asciiTheme="minorHAnsi" w:hAnsiTheme="minorHAnsi"/>
        </w:rPr>
        <w:t xml:space="preserve">In addition, </w:t>
      </w:r>
      <w:r w:rsidR="007E3ABB">
        <w:rPr>
          <w:rFonts w:asciiTheme="minorHAnsi" w:hAnsiTheme="minorHAnsi"/>
        </w:rPr>
        <w:t xml:space="preserve">short </w:t>
      </w:r>
      <w:r w:rsidRPr="00D61E22">
        <w:rPr>
          <w:rFonts w:asciiTheme="minorHAnsi" w:hAnsiTheme="minorHAnsi"/>
        </w:rPr>
        <w:t>EGNOS performance degradation events in October and November also contributed to lower the continuity value in the Budapest pilot project. These</w:t>
      </w:r>
      <w:r w:rsidR="007E3ABB">
        <w:rPr>
          <w:rFonts w:asciiTheme="minorHAnsi" w:hAnsiTheme="minorHAnsi"/>
        </w:rPr>
        <w:t xml:space="preserve"> regional</w:t>
      </w:r>
      <w:r w:rsidRPr="00D61E22">
        <w:rPr>
          <w:rFonts w:asciiTheme="minorHAnsi" w:hAnsiTheme="minorHAnsi"/>
        </w:rPr>
        <w:t xml:space="preserve"> performance degradation events only affected the pilot in Budapest. </w:t>
      </w:r>
    </w:p>
    <w:p w14:paraId="4BF1FF9A" w14:textId="77777777" w:rsidR="007E3ABB" w:rsidRPr="00D61E22" w:rsidRDefault="007E3ABB" w:rsidP="00D61E22">
      <w:pPr>
        <w:jc w:val="both"/>
        <w:rPr>
          <w:rFonts w:asciiTheme="minorHAnsi" w:hAnsiTheme="minorHAnsi"/>
        </w:rPr>
      </w:pPr>
    </w:p>
    <w:p w14:paraId="7FA726BB" w14:textId="0CA1DF47" w:rsidR="008C09C8" w:rsidRDefault="008C09C8" w:rsidP="00D61E22">
      <w:pPr>
        <w:jc w:val="both"/>
        <w:rPr>
          <w:rFonts w:asciiTheme="minorHAnsi" w:hAnsiTheme="minorHAnsi"/>
          <w:bCs/>
        </w:rPr>
      </w:pPr>
      <w:r w:rsidRPr="00D61E22">
        <w:rPr>
          <w:rFonts w:asciiTheme="minorHAnsi" w:hAnsiTheme="minorHAnsi"/>
          <w:bCs/>
        </w:rPr>
        <w:t xml:space="preserve">Regarding the </w:t>
      </w:r>
      <w:r w:rsidRPr="00D61E22">
        <w:rPr>
          <w:rFonts w:asciiTheme="minorHAnsi" w:hAnsiTheme="minorHAnsi"/>
          <w:b/>
          <w:bCs/>
        </w:rPr>
        <w:t>accuracy</w:t>
      </w:r>
      <w:r w:rsidRPr="00D61E22">
        <w:rPr>
          <w:rFonts w:asciiTheme="minorHAnsi" w:hAnsiTheme="minorHAnsi"/>
          <w:bCs/>
        </w:rPr>
        <w:t xml:space="preserve"> results, it is to be noted that the position accuracy highly depends on the quality of the antenna and the GNSS receiver. In this sense, the results obtained for the Rota pilot project, where a high quality antenna and GPS receiver was used, </w:t>
      </w:r>
      <w:r w:rsidRPr="00D61E22">
        <w:rPr>
          <w:rFonts w:asciiTheme="minorHAnsi" w:hAnsiTheme="minorHAnsi"/>
        </w:rPr>
        <w:t>illustrates the performance levels that could be obtained with an EGNOS-based solution (</w:t>
      </w:r>
      <w:r w:rsidRPr="00D61E22">
        <w:rPr>
          <w:rFonts w:asciiTheme="minorHAnsi" w:hAnsiTheme="minorHAnsi"/>
          <w:bCs/>
        </w:rPr>
        <w:t>horizont</w:t>
      </w:r>
      <w:r w:rsidR="003B538C" w:rsidRPr="004A2C0C">
        <w:rPr>
          <w:rFonts w:asciiTheme="minorHAnsi" w:hAnsiTheme="minorHAnsi"/>
          <w:bCs/>
        </w:rPr>
        <w:t>al position error below 1 meter</w:t>
      </w:r>
      <w:r w:rsidRPr="00D61E22">
        <w:rPr>
          <w:rFonts w:asciiTheme="minorHAnsi" w:hAnsiTheme="minorHAnsi"/>
          <w:bCs/>
        </w:rPr>
        <w:t xml:space="preserve"> at the 95 percentile).</w:t>
      </w:r>
    </w:p>
    <w:p w14:paraId="0A71D481" w14:textId="77777777" w:rsidR="007E3ABB" w:rsidRPr="00D61E22" w:rsidRDefault="007E3ABB" w:rsidP="00D61E22">
      <w:pPr>
        <w:jc w:val="both"/>
        <w:rPr>
          <w:rFonts w:asciiTheme="minorHAnsi" w:hAnsiTheme="minorHAnsi"/>
          <w:bCs/>
        </w:rPr>
      </w:pPr>
    </w:p>
    <w:p w14:paraId="4A85C6F3" w14:textId="77777777" w:rsidR="008C09C8" w:rsidRDefault="008C09C8" w:rsidP="00D61E22">
      <w:pPr>
        <w:jc w:val="both"/>
        <w:rPr>
          <w:rFonts w:asciiTheme="minorHAnsi" w:hAnsiTheme="minorHAnsi"/>
        </w:rPr>
      </w:pPr>
      <w:r w:rsidRPr="00D61E22">
        <w:rPr>
          <w:rFonts w:asciiTheme="minorHAnsi" w:hAnsiTheme="minorHAnsi"/>
          <w:color w:val="000000"/>
        </w:rPr>
        <w:t xml:space="preserve">Finally, the results yield by the </w:t>
      </w:r>
      <w:r w:rsidRPr="00D61E22">
        <w:rPr>
          <w:rFonts w:asciiTheme="minorHAnsi" w:hAnsiTheme="minorHAnsi"/>
          <w:b/>
          <w:color w:val="000000"/>
        </w:rPr>
        <w:t>integrity</w:t>
      </w:r>
      <w:r w:rsidRPr="00D61E22">
        <w:rPr>
          <w:rFonts w:asciiTheme="minorHAnsi" w:hAnsiTheme="minorHAnsi"/>
          <w:color w:val="000000"/>
        </w:rPr>
        <w:t xml:space="preserve"> monitoring module show that no single satellite correction has been discarded due to high PRC, RRC and only a few due to high corresponding residual values (affecting satellites at low elevations). This </w:t>
      </w:r>
      <w:r w:rsidRPr="00D61E22">
        <w:rPr>
          <w:rFonts w:asciiTheme="minorHAnsi" w:hAnsiTheme="minorHAnsi"/>
        </w:rPr>
        <w:t xml:space="preserve">provides a quantitative measurement of the corrections quality. If the corrections are accurate, the differences between the geometric and the corrected </w:t>
      </w:r>
      <w:proofErr w:type="spellStart"/>
      <w:r w:rsidRPr="00D61E22">
        <w:rPr>
          <w:rFonts w:asciiTheme="minorHAnsi" w:hAnsiTheme="minorHAnsi"/>
        </w:rPr>
        <w:t>pseudorange</w:t>
      </w:r>
      <w:proofErr w:type="spellEnd"/>
      <w:r w:rsidRPr="00D61E22">
        <w:rPr>
          <w:rFonts w:asciiTheme="minorHAnsi" w:hAnsiTheme="minorHAnsi"/>
        </w:rPr>
        <w:t xml:space="preserve"> will be low and therefore good position accuracies will be obtained. At the position domain, only a few events with errors exceeding the horizontal position threshold have been detected in the Riga pilot project.</w:t>
      </w:r>
    </w:p>
    <w:p w14:paraId="589DAD32" w14:textId="77777777" w:rsidR="00C3304E" w:rsidRPr="00D61E22" w:rsidRDefault="00C3304E" w:rsidP="00D61E22">
      <w:pPr>
        <w:jc w:val="both"/>
        <w:rPr>
          <w:rFonts w:asciiTheme="minorHAnsi" w:hAnsiTheme="minorHAnsi"/>
          <w:bCs/>
        </w:rPr>
      </w:pPr>
    </w:p>
    <w:p w14:paraId="092E2B3A" w14:textId="77777777" w:rsidR="008C09C8" w:rsidRPr="00D61E22" w:rsidRDefault="008C09C8" w:rsidP="00D61E22">
      <w:pPr>
        <w:jc w:val="both"/>
        <w:rPr>
          <w:rFonts w:asciiTheme="minorHAnsi" w:hAnsiTheme="minorHAnsi"/>
        </w:rPr>
      </w:pPr>
      <w:r w:rsidRPr="00D61E22">
        <w:rPr>
          <w:rFonts w:asciiTheme="minorHAnsi" w:hAnsiTheme="minorHAnsi"/>
        </w:rPr>
        <w:t>In summary, it can be stated that the pilot projects have performed really well mainly due to:</w:t>
      </w:r>
    </w:p>
    <w:p w14:paraId="4B3D0678" w14:textId="77777777" w:rsidR="008C09C8" w:rsidRPr="004A2C0C" w:rsidRDefault="008C09C8">
      <w:pPr>
        <w:pStyle w:val="ListParagraph"/>
        <w:numPr>
          <w:ilvl w:val="0"/>
          <w:numId w:val="40"/>
        </w:numPr>
        <w:jc w:val="both"/>
        <w:rPr>
          <w:rFonts w:asciiTheme="minorHAnsi" w:hAnsiTheme="minorHAnsi"/>
          <w:bCs/>
        </w:rPr>
      </w:pPr>
      <w:r w:rsidRPr="001C6209">
        <w:rPr>
          <w:rFonts w:asciiTheme="minorHAnsi" w:hAnsiTheme="minorHAnsi"/>
          <w:bCs/>
        </w:rPr>
        <w:t xml:space="preserve">the high availability of the EGNOS </w:t>
      </w:r>
      <w:proofErr w:type="spellStart"/>
      <w:r w:rsidRPr="001C6209">
        <w:rPr>
          <w:rFonts w:asciiTheme="minorHAnsi" w:hAnsiTheme="minorHAnsi"/>
          <w:bCs/>
        </w:rPr>
        <w:t>SiS</w:t>
      </w:r>
      <w:proofErr w:type="spellEnd"/>
      <w:r w:rsidRPr="001C6209">
        <w:rPr>
          <w:rFonts w:asciiTheme="minorHAnsi" w:hAnsiTheme="minorHAnsi"/>
          <w:bCs/>
        </w:rPr>
        <w:t xml:space="preserve"> (100% in the period of analysis when using combined </w:t>
      </w:r>
      <w:proofErr w:type="spellStart"/>
      <w:r w:rsidRPr="001C6209">
        <w:rPr>
          <w:rFonts w:asciiTheme="minorHAnsi" w:hAnsiTheme="minorHAnsi"/>
          <w:bCs/>
        </w:rPr>
        <w:t>SiS</w:t>
      </w:r>
      <w:proofErr w:type="spellEnd"/>
      <w:r w:rsidRPr="001C6209">
        <w:rPr>
          <w:rFonts w:asciiTheme="minorHAnsi" w:hAnsiTheme="minorHAnsi"/>
          <w:bCs/>
        </w:rPr>
        <w:t xml:space="preserve">), and EDAS (only minor outages detected), and </w:t>
      </w:r>
    </w:p>
    <w:p w14:paraId="7F2DFE7C" w14:textId="77777777" w:rsidR="008C09C8" w:rsidRPr="004A2C0C" w:rsidRDefault="008C09C8">
      <w:pPr>
        <w:pStyle w:val="ListParagraph"/>
        <w:numPr>
          <w:ilvl w:val="0"/>
          <w:numId w:val="40"/>
        </w:numPr>
        <w:jc w:val="both"/>
        <w:rPr>
          <w:rFonts w:asciiTheme="minorHAnsi" w:hAnsiTheme="minorHAnsi"/>
          <w:bCs/>
        </w:rPr>
      </w:pPr>
      <w:r w:rsidRPr="004A2C0C">
        <w:rPr>
          <w:rFonts w:asciiTheme="minorHAnsi" w:hAnsiTheme="minorHAnsi"/>
          <w:bCs/>
        </w:rPr>
        <w:t xml:space="preserve">the high quality of the corrections generated. </w:t>
      </w:r>
    </w:p>
    <w:p w14:paraId="04E0807E" w14:textId="77777777" w:rsidR="008C09C8" w:rsidRDefault="008C09C8" w:rsidP="00D61E22">
      <w:pPr>
        <w:pStyle w:val="BodyText"/>
        <w:rPr>
          <w:lang w:eastAsia="de-DE"/>
        </w:rPr>
      </w:pPr>
    </w:p>
    <w:p w14:paraId="0A188EE2" w14:textId="659DED8B" w:rsidR="008C09C8" w:rsidRPr="00D61E22" w:rsidRDefault="008C09C8" w:rsidP="004A2C0C">
      <w:pPr>
        <w:pStyle w:val="Heading2"/>
        <w:rPr>
          <w:lang w:eastAsia="de-DE"/>
        </w:rPr>
      </w:pPr>
      <w:r w:rsidRPr="00D61E22">
        <w:rPr>
          <w:lang w:eastAsia="de-DE"/>
        </w:rPr>
        <w:t>Cost Bene</w:t>
      </w:r>
      <w:r w:rsidR="001C6209" w:rsidRPr="00D61E22">
        <w:rPr>
          <w:lang w:eastAsia="de-DE"/>
        </w:rPr>
        <w:t>fit Analysis</w:t>
      </w:r>
    </w:p>
    <w:p w14:paraId="2ECBFB5D" w14:textId="77777777" w:rsidR="001C6209" w:rsidRPr="003C4338" w:rsidRDefault="001C6209" w:rsidP="00D61E22">
      <w:pPr>
        <w:jc w:val="both"/>
        <w:rPr>
          <w:rFonts w:asciiTheme="minorHAnsi" w:hAnsiTheme="minorHAnsi"/>
        </w:rPr>
      </w:pPr>
      <w:r w:rsidRPr="003C4338">
        <w:rPr>
          <w:rFonts w:asciiTheme="minorHAnsi" w:hAnsiTheme="minorHAnsi"/>
        </w:rPr>
        <w:t>In close cooperation with the participating authorities, the consortium has developed a complete cost-benefit model that allows to quantify potential savings brought by EGNOS introduction in all the scenarios and to assess the optimal deployment strategy for maximising benefits of this transition. More specifically, for all the scenarios analysed the results have been the following:</w:t>
      </w:r>
    </w:p>
    <w:p w14:paraId="6276FD6B" w14:textId="77777777" w:rsidR="001C6209" w:rsidRPr="003C4338" w:rsidRDefault="001C6209" w:rsidP="001C6209">
      <w:pPr>
        <w:rPr>
          <w:rFonts w:asciiTheme="minorHAnsi" w:hAnsiTheme="minorHAnsi"/>
        </w:rPr>
      </w:pPr>
    </w:p>
    <w:tbl>
      <w:tblPr>
        <w:tblW w:w="10190" w:type="dxa"/>
        <w:jc w:val="cente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left w:w="0" w:type="dxa"/>
          <w:right w:w="0" w:type="dxa"/>
        </w:tblCellMar>
        <w:tblLook w:val="0600" w:firstRow="0" w:lastRow="0" w:firstColumn="0" w:lastColumn="0" w:noHBand="1" w:noVBand="1"/>
      </w:tblPr>
      <w:tblGrid>
        <w:gridCol w:w="1690"/>
        <w:gridCol w:w="975"/>
        <w:gridCol w:w="1631"/>
        <w:gridCol w:w="1188"/>
        <w:gridCol w:w="2800"/>
        <w:gridCol w:w="1906"/>
      </w:tblGrid>
      <w:tr w:rsidR="001C6209" w:rsidRPr="007373C2" w14:paraId="484C7F21" w14:textId="77777777" w:rsidTr="007D058C">
        <w:trPr>
          <w:trHeight w:val="680"/>
          <w:jc w:val="center"/>
        </w:trPr>
        <w:tc>
          <w:tcPr>
            <w:tcW w:w="1694" w:type="dxa"/>
            <w:shd w:val="clear" w:color="auto" w:fill="004065"/>
            <w:tcMar>
              <w:top w:w="72" w:type="dxa"/>
              <w:left w:w="72" w:type="dxa"/>
              <w:bottom w:w="72" w:type="dxa"/>
              <w:right w:w="72" w:type="dxa"/>
            </w:tcMar>
            <w:vAlign w:val="center"/>
            <w:hideMark/>
          </w:tcPr>
          <w:p w14:paraId="09E4DB86"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b/>
                <w:bCs/>
                <w:color w:val="FFFFFF" w:themeColor="background1"/>
                <w:kern w:val="24"/>
                <w:szCs w:val="20"/>
              </w:rPr>
              <w:t>Port Authority /State</w:t>
            </w:r>
          </w:p>
        </w:tc>
        <w:tc>
          <w:tcPr>
            <w:tcW w:w="911" w:type="dxa"/>
            <w:shd w:val="clear" w:color="auto" w:fill="004065"/>
            <w:tcMar>
              <w:top w:w="72" w:type="dxa"/>
              <w:left w:w="72" w:type="dxa"/>
              <w:bottom w:w="72" w:type="dxa"/>
              <w:right w:w="72" w:type="dxa"/>
            </w:tcMar>
            <w:vAlign w:val="center"/>
            <w:hideMark/>
          </w:tcPr>
          <w:p w14:paraId="2BC65B81"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b/>
                <w:bCs/>
                <w:color w:val="FFFFFF" w:themeColor="background1"/>
                <w:kern w:val="24"/>
                <w:szCs w:val="20"/>
              </w:rPr>
              <w:t>Domain</w:t>
            </w:r>
          </w:p>
        </w:tc>
        <w:tc>
          <w:tcPr>
            <w:tcW w:w="1637" w:type="dxa"/>
            <w:shd w:val="clear" w:color="auto" w:fill="004065"/>
            <w:tcMar>
              <w:top w:w="72" w:type="dxa"/>
              <w:left w:w="72" w:type="dxa"/>
              <w:bottom w:w="72" w:type="dxa"/>
              <w:right w:w="72" w:type="dxa"/>
            </w:tcMar>
            <w:vAlign w:val="center"/>
            <w:hideMark/>
          </w:tcPr>
          <w:p w14:paraId="73B123B3" w14:textId="77777777" w:rsidR="001C6209" w:rsidRPr="003C4338" w:rsidRDefault="001C6209" w:rsidP="007D058C">
            <w:pPr>
              <w:jc w:val="center"/>
              <w:textAlignment w:val="center"/>
              <w:rPr>
                <w:rFonts w:asciiTheme="minorHAnsi" w:hAnsiTheme="minorHAnsi"/>
                <w:b/>
                <w:bCs/>
                <w:color w:val="FFFFFF" w:themeColor="background1"/>
                <w:kern w:val="24"/>
                <w:szCs w:val="20"/>
              </w:rPr>
            </w:pPr>
            <w:r w:rsidRPr="003C4338">
              <w:rPr>
                <w:rFonts w:asciiTheme="minorHAnsi" w:hAnsiTheme="minorHAnsi"/>
                <w:b/>
                <w:bCs/>
                <w:color w:val="FFFFFF" w:themeColor="background1"/>
                <w:kern w:val="24"/>
                <w:szCs w:val="20"/>
              </w:rPr>
              <w:t>Reference Scenario</w:t>
            </w:r>
          </w:p>
          <w:p w14:paraId="6DB380F0"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b/>
                <w:bCs/>
                <w:color w:val="FFFFFF" w:themeColor="background1"/>
                <w:kern w:val="24"/>
                <w:szCs w:val="20"/>
              </w:rPr>
              <w:t>Architecture</w:t>
            </w:r>
          </w:p>
        </w:tc>
        <w:tc>
          <w:tcPr>
            <w:tcW w:w="1189" w:type="dxa"/>
            <w:shd w:val="clear" w:color="auto" w:fill="004065"/>
            <w:vAlign w:val="center"/>
          </w:tcPr>
          <w:p w14:paraId="1A665B38" w14:textId="77777777" w:rsidR="001C6209" w:rsidRPr="003C4338" w:rsidRDefault="001C6209" w:rsidP="007D058C">
            <w:pPr>
              <w:jc w:val="center"/>
              <w:textAlignment w:val="center"/>
              <w:rPr>
                <w:rFonts w:asciiTheme="minorHAnsi" w:hAnsiTheme="minorHAnsi"/>
                <w:b/>
                <w:bCs/>
                <w:color w:val="FFFFFF" w:themeColor="background1"/>
                <w:kern w:val="24"/>
                <w:szCs w:val="20"/>
              </w:rPr>
            </w:pPr>
            <w:r w:rsidRPr="003C4338">
              <w:rPr>
                <w:rFonts w:asciiTheme="minorHAnsi" w:hAnsiTheme="minorHAnsi"/>
                <w:b/>
                <w:bCs/>
                <w:color w:val="FFFFFF" w:themeColor="background1"/>
                <w:kern w:val="24"/>
                <w:szCs w:val="20"/>
              </w:rPr>
              <w:t>EGNOS Option Architecture</w:t>
            </w:r>
          </w:p>
        </w:tc>
        <w:tc>
          <w:tcPr>
            <w:tcW w:w="2834" w:type="dxa"/>
            <w:shd w:val="clear" w:color="auto" w:fill="004065"/>
            <w:tcMar>
              <w:top w:w="72" w:type="dxa"/>
              <w:left w:w="72" w:type="dxa"/>
              <w:bottom w:w="72" w:type="dxa"/>
              <w:right w:w="72" w:type="dxa"/>
            </w:tcMar>
            <w:vAlign w:val="center"/>
            <w:hideMark/>
          </w:tcPr>
          <w:p w14:paraId="63C639B3"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b/>
                <w:bCs/>
                <w:color w:val="FFFFFF" w:themeColor="background1"/>
                <w:kern w:val="24"/>
                <w:szCs w:val="20"/>
              </w:rPr>
              <w:t>Total Savings</w:t>
            </w:r>
          </w:p>
        </w:tc>
        <w:tc>
          <w:tcPr>
            <w:tcW w:w="1925" w:type="dxa"/>
            <w:shd w:val="clear" w:color="auto" w:fill="004065"/>
            <w:vAlign w:val="center"/>
          </w:tcPr>
          <w:p w14:paraId="46A0775F" w14:textId="77777777" w:rsidR="001C6209" w:rsidRPr="003C4338" w:rsidRDefault="001C6209" w:rsidP="007D058C">
            <w:pPr>
              <w:jc w:val="center"/>
              <w:textAlignment w:val="center"/>
              <w:rPr>
                <w:rFonts w:asciiTheme="minorHAnsi" w:hAnsiTheme="minorHAnsi"/>
                <w:b/>
                <w:bCs/>
                <w:color w:val="FFFFFF" w:themeColor="background1"/>
                <w:kern w:val="24"/>
                <w:szCs w:val="20"/>
              </w:rPr>
            </w:pPr>
            <w:r w:rsidRPr="003C4338">
              <w:rPr>
                <w:rFonts w:asciiTheme="minorHAnsi" w:hAnsiTheme="minorHAnsi"/>
                <w:b/>
                <w:bCs/>
                <w:color w:val="FFFFFF" w:themeColor="background1"/>
                <w:kern w:val="24"/>
                <w:szCs w:val="20"/>
              </w:rPr>
              <w:t>Savings percentage</w:t>
            </w:r>
          </w:p>
          <w:p w14:paraId="15104E35" w14:textId="77777777" w:rsidR="001C6209" w:rsidRPr="003C4338" w:rsidRDefault="001C6209" w:rsidP="007D058C">
            <w:pPr>
              <w:jc w:val="center"/>
              <w:textAlignment w:val="center"/>
              <w:rPr>
                <w:rFonts w:asciiTheme="minorHAnsi" w:hAnsiTheme="minorHAnsi"/>
                <w:b/>
                <w:bCs/>
                <w:color w:val="FFFFFF" w:themeColor="background1"/>
                <w:kern w:val="24"/>
                <w:szCs w:val="20"/>
              </w:rPr>
            </w:pPr>
            <w:r w:rsidRPr="003C4338">
              <w:rPr>
                <w:rFonts w:asciiTheme="minorHAnsi" w:hAnsiTheme="minorHAnsi"/>
                <w:b/>
                <w:bCs/>
                <w:color w:val="FFFFFF" w:themeColor="background1"/>
                <w:kern w:val="24"/>
                <w:szCs w:val="20"/>
              </w:rPr>
              <w:t>(EGNOS Option vs</w:t>
            </w:r>
          </w:p>
          <w:p w14:paraId="2D9500CD" w14:textId="77777777" w:rsidR="001C6209" w:rsidRPr="003C4338" w:rsidRDefault="001C6209" w:rsidP="007D058C">
            <w:pPr>
              <w:jc w:val="center"/>
              <w:textAlignment w:val="center"/>
              <w:rPr>
                <w:rFonts w:asciiTheme="minorHAnsi" w:hAnsiTheme="minorHAnsi"/>
                <w:b/>
                <w:bCs/>
                <w:color w:val="FFFFFF" w:themeColor="background1"/>
                <w:kern w:val="24"/>
                <w:szCs w:val="20"/>
              </w:rPr>
            </w:pPr>
            <w:r w:rsidRPr="003C4338">
              <w:rPr>
                <w:rFonts w:asciiTheme="minorHAnsi" w:hAnsiTheme="minorHAnsi"/>
                <w:b/>
                <w:bCs/>
                <w:color w:val="FFFFFF" w:themeColor="background1"/>
                <w:kern w:val="24"/>
                <w:szCs w:val="20"/>
              </w:rPr>
              <w:t>Reference Scenario)</w:t>
            </w:r>
          </w:p>
        </w:tc>
      </w:tr>
      <w:tr w:rsidR="001C6209" w:rsidRPr="003C4338" w14:paraId="51B1F1A7" w14:textId="77777777" w:rsidTr="007D058C">
        <w:trPr>
          <w:trHeight w:val="382"/>
          <w:jc w:val="center"/>
        </w:trPr>
        <w:tc>
          <w:tcPr>
            <w:tcW w:w="1694" w:type="dxa"/>
            <w:shd w:val="clear" w:color="auto" w:fill="auto"/>
            <w:tcMar>
              <w:top w:w="72" w:type="dxa"/>
              <w:left w:w="72" w:type="dxa"/>
              <w:bottom w:w="72" w:type="dxa"/>
              <w:right w:w="72" w:type="dxa"/>
            </w:tcMar>
            <w:vAlign w:val="center"/>
            <w:hideMark/>
          </w:tcPr>
          <w:p w14:paraId="39B5F9D8"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MRCC/Latvia</w:t>
            </w:r>
          </w:p>
        </w:tc>
        <w:tc>
          <w:tcPr>
            <w:tcW w:w="911" w:type="dxa"/>
            <w:shd w:val="clear" w:color="auto" w:fill="auto"/>
            <w:tcMar>
              <w:top w:w="72" w:type="dxa"/>
              <w:left w:w="72" w:type="dxa"/>
              <w:bottom w:w="72" w:type="dxa"/>
              <w:right w:w="72" w:type="dxa"/>
            </w:tcMar>
            <w:vAlign w:val="center"/>
            <w:hideMark/>
          </w:tcPr>
          <w:p w14:paraId="153E99AE"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Maritime</w:t>
            </w:r>
          </w:p>
        </w:tc>
        <w:tc>
          <w:tcPr>
            <w:tcW w:w="1637" w:type="dxa"/>
            <w:shd w:val="clear" w:color="auto" w:fill="auto"/>
            <w:tcMar>
              <w:top w:w="72" w:type="dxa"/>
              <w:left w:w="72" w:type="dxa"/>
              <w:bottom w:w="72" w:type="dxa"/>
              <w:right w:w="72" w:type="dxa"/>
            </w:tcMar>
            <w:vAlign w:val="center"/>
            <w:hideMark/>
          </w:tcPr>
          <w:p w14:paraId="1D9A6342"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AIS decentralised</w:t>
            </w:r>
          </w:p>
        </w:tc>
        <w:tc>
          <w:tcPr>
            <w:tcW w:w="1189" w:type="dxa"/>
            <w:vAlign w:val="center"/>
          </w:tcPr>
          <w:p w14:paraId="46DE938C" w14:textId="77777777" w:rsidR="001C6209" w:rsidRPr="003C4338" w:rsidRDefault="001C6209" w:rsidP="007D058C">
            <w:pPr>
              <w:jc w:val="center"/>
              <w:textAlignment w:val="center"/>
              <w:rPr>
                <w:rFonts w:asciiTheme="minorHAnsi" w:hAnsiTheme="minorHAnsi"/>
                <w:color w:val="000000" w:themeColor="text1"/>
                <w:kern w:val="24"/>
                <w:szCs w:val="20"/>
              </w:rPr>
            </w:pPr>
            <w:r w:rsidRPr="003C4338">
              <w:rPr>
                <w:rFonts w:asciiTheme="minorHAnsi" w:hAnsiTheme="minorHAnsi"/>
                <w:color w:val="000000" w:themeColor="text1"/>
                <w:kern w:val="24"/>
                <w:szCs w:val="20"/>
              </w:rPr>
              <w:t>AIS centralised</w:t>
            </w:r>
          </w:p>
        </w:tc>
        <w:tc>
          <w:tcPr>
            <w:tcW w:w="2834" w:type="dxa"/>
            <w:shd w:val="clear" w:color="auto" w:fill="auto"/>
            <w:tcMar>
              <w:top w:w="72" w:type="dxa"/>
              <w:left w:w="72" w:type="dxa"/>
              <w:bottom w:w="72" w:type="dxa"/>
              <w:right w:w="72" w:type="dxa"/>
            </w:tcMar>
            <w:vAlign w:val="center"/>
            <w:hideMark/>
          </w:tcPr>
          <w:p w14:paraId="63CF4104"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szCs w:val="20"/>
              </w:rPr>
              <w:t xml:space="preserve">0,19 </w:t>
            </w:r>
            <w:proofErr w:type="spellStart"/>
            <w:r w:rsidRPr="003C4338">
              <w:rPr>
                <w:rFonts w:asciiTheme="minorHAnsi" w:hAnsiTheme="minorHAnsi"/>
                <w:szCs w:val="20"/>
              </w:rPr>
              <w:t>Mln</w:t>
            </w:r>
            <w:proofErr w:type="spellEnd"/>
            <w:r w:rsidRPr="003C4338">
              <w:rPr>
                <w:rFonts w:asciiTheme="minorHAnsi" w:hAnsiTheme="minorHAnsi"/>
                <w:szCs w:val="20"/>
              </w:rPr>
              <w:t xml:space="preserve"> Eur</w:t>
            </w:r>
          </w:p>
        </w:tc>
        <w:tc>
          <w:tcPr>
            <w:tcW w:w="1925" w:type="dxa"/>
            <w:vAlign w:val="center"/>
          </w:tcPr>
          <w:p w14:paraId="20FE2A85" w14:textId="77777777" w:rsidR="001C6209" w:rsidRPr="003C4338" w:rsidRDefault="001C6209" w:rsidP="007D058C">
            <w:pPr>
              <w:jc w:val="center"/>
              <w:textAlignment w:val="center"/>
              <w:rPr>
                <w:rFonts w:asciiTheme="minorHAnsi" w:hAnsiTheme="minorHAnsi"/>
                <w:color w:val="000000" w:themeColor="text1"/>
                <w:kern w:val="24"/>
                <w:szCs w:val="20"/>
              </w:rPr>
            </w:pPr>
            <w:r w:rsidRPr="003C4338">
              <w:rPr>
                <w:rFonts w:asciiTheme="minorHAnsi" w:hAnsiTheme="minorHAnsi"/>
                <w:color w:val="000000" w:themeColor="text1"/>
                <w:kern w:val="24"/>
                <w:szCs w:val="20"/>
              </w:rPr>
              <w:t>52%</w:t>
            </w:r>
          </w:p>
        </w:tc>
      </w:tr>
      <w:tr w:rsidR="001C6209" w:rsidRPr="003C4338" w14:paraId="1CF3C90A" w14:textId="77777777" w:rsidTr="007D058C">
        <w:trPr>
          <w:trHeight w:val="370"/>
          <w:jc w:val="center"/>
        </w:trPr>
        <w:tc>
          <w:tcPr>
            <w:tcW w:w="1694" w:type="dxa"/>
            <w:shd w:val="clear" w:color="auto" w:fill="auto"/>
            <w:tcMar>
              <w:top w:w="72" w:type="dxa"/>
              <w:left w:w="72" w:type="dxa"/>
              <w:bottom w:w="72" w:type="dxa"/>
              <w:right w:w="72" w:type="dxa"/>
            </w:tcMar>
            <w:vAlign w:val="center"/>
            <w:hideMark/>
          </w:tcPr>
          <w:p w14:paraId="32907C7E" w14:textId="77777777" w:rsidR="001C6209" w:rsidRPr="00715B96" w:rsidRDefault="001C6209" w:rsidP="007D058C">
            <w:pPr>
              <w:jc w:val="center"/>
              <w:textAlignment w:val="center"/>
              <w:rPr>
                <w:rFonts w:asciiTheme="minorHAnsi" w:hAnsiTheme="minorHAnsi"/>
                <w:szCs w:val="20"/>
              </w:rPr>
            </w:pPr>
            <w:proofErr w:type="spellStart"/>
            <w:r w:rsidRPr="00715B96">
              <w:rPr>
                <w:rFonts w:asciiTheme="minorHAnsi" w:hAnsiTheme="minorHAnsi"/>
                <w:color w:val="000000" w:themeColor="text1"/>
                <w:kern w:val="24"/>
                <w:szCs w:val="20"/>
              </w:rPr>
              <w:t>Puertos</w:t>
            </w:r>
            <w:proofErr w:type="spellEnd"/>
            <w:r w:rsidRPr="00715B96">
              <w:rPr>
                <w:rFonts w:asciiTheme="minorHAnsi" w:hAnsiTheme="minorHAnsi"/>
                <w:color w:val="000000" w:themeColor="text1"/>
                <w:kern w:val="24"/>
                <w:szCs w:val="20"/>
              </w:rPr>
              <w:t xml:space="preserve"> del Estado/Spain</w:t>
            </w:r>
          </w:p>
        </w:tc>
        <w:tc>
          <w:tcPr>
            <w:tcW w:w="911" w:type="dxa"/>
            <w:shd w:val="clear" w:color="auto" w:fill="auto"/>
            <w:tcMar>
              <w:top w:w="72" w:type="dxa"/>
              <w:left w:w="72" w:type="dxa"/>
              <w:bottom w:w="72" w:type="dxa"/>
              <w:right w:w="72" w:type="dxa"/>
            </w:tcMar>
            <w:vAlign w:val="center"/>
            <w:hideMark/>
          </w:tcPr>
          <w:p w14:paraId="6C04CC08" w14:textId="77777777" w:rsidR="001C6209" w:rsidRPr="00715B96" w:rsidRDefault="001C6209" w:rsidP="007D058C">
            <w:pPr>
              <w:jc w:val="center"/>
              <w:textAlignment w:val="center"/>
              <w:rPr>
                <w:rFonts w:asciiTheme="minorHAnsi" w:hAnsiTheme="minorHAnsi"/>
                <w:szCs w:val="20"/>
              </w:rPr>
            </w:pPr>
            <w:r w:rsidRPr="00715B96">
              <w:rPr>
                <w:rFonts w:asciiTheme="minorHAnsi" w:hAnsiTheme="minorHAnsi"/>
                <w:color w:val="000000" w:themeColor="text1"/>
                <w:kern w:val="24"/>
                <w:szCs w:val="20"/>
              </w:rPr>
              <w:t>Maritime</w:t>
            </w:r>
          </w:p>
        </w:tc>
        <w:tc>
          <w:tcPr>
            <w:tcW w:w="1637" w:type="dxa"/>
            <w:shd w:val="clear" w:color="auto" w:fill="auto"/>
            <w:tcMar>
              <w:top w:w="72" w:type="dxa"/>
              <w:left w:w="72" w:type="dxa"/>
              <w:bottom w:w="72" w:type="dxa"/>
              <w:right w:w="72" w:type="dxa"/>
            </w:tcMar>
            <w:vAlign w:val="center"/>
            <w:hideMark/>
          </w:tcPr>
          <w:p w14:paraId="0F143C15" w14:textId="77777777" w:rsidR="001C6209" w:rsidRPr="00715B96" w:rsidRDefault="001C6209" w:rsidP="007D058C">
            <w:pPr>
              <w:jc w:val="center"/>
              <w:textAlignment w:val="center"/>
              <w:rPr>
                <w:rFonts w:asciiTheme="minorHAnsi" w:hAnsiTheme="minorHAnsi"/>
                <w:szCs w:val="20"/>
              </w:rPr>
            </w:pPr>
            <w:r w:rsidRPr="00715B96">
              <w:rPr>
                <w:rFonts w:asciiTheme="minorHAnsi" w:hAnsiTheme="minorHAnsi"/>
                <w:color w:val="000000" w:themeColor="text1"/>
                <w:kern w:val="24"/>
                <w:szCs w:val="20"/>
              </w:rPr>
              <w:t>IALA decentralised</w:t>
            </w:r>
          </w:p>
        </w:tc>
        <w:tc>
          <w:tcPr>
            <w:tcW w:w="1189" w:type="dxa"/>
            <w:vAlign w:val="center"/>
          </w:tcPr>
          <w:p w14:paraId="165197C5" w14:textId="77777777" w:rsidR="001C6209" w:rsidRPr="00715B96" w:rsidRDefault="001C6209" w:rsidP="007D058C">
            <w:pPr>
              <w:jc w:val="center"/>
              <w:textAlignment w:val="center"/>
              <w:rPr>
                <w:rFonts w:asciiTheme="minorHAnsi" w:hAnsiTheme="minorHAnsi"/>
                <w:color w:val="000000" w:themeColor="text1"/>
                <w:kern w:val="24"/>
                <w:szCs w:val="20"/>
              </w:rPr>
            </w:pPr>
            <w:r w:rsidRPr="00715B96">
              <w:rPr>
                <w:rFonts w:asciiTheme="minorHAnsi" w:hAnsiTheme="minorHAnsi"/>
                <w:color w:val="000000" w:themeColor="text1"/>
                <w:kern w:val="24"/>
                <w:szCs w:val="20"/>
              </w:rPr>
              <w:t>IALA centralised</w:t>
            </w:r>
          </w:p>
        </w:tc>
        <w:tc>
          <w:tcPr>
            <w:tcW w:w="2834" w:type="dxa"/>
            <w:shd w:val="clear" w:color="auto" w:fill="auto"/>
            <w:tcMar>
              <w:top w:w="72" w:type="dxa"/>
              <w:left w:w="72" w:type="dxa"/>
              <w:bottom w:w="72" w:type="dxa"/>
              <w:right w:w="72" w:type="dxa"/>
            </w:tcMar>
            <w:vAlign w:val="center"/>
            <w:hideMark/>
          </w:tcPr>
          <w:p w14:paraId="53382580" w14:textId="77777777" w:rsidR="001C6209" w:rsidRPr="00715B96" w:rsidRDefault="001C6209" w:rsidP="007D058C">
            <w:pPr>
              <w:jc w:val="center"/>
              <w:textAlignment w:val="center"/>
              <w:rPr>
                <w:rFonts w:asciiTheme="minorHAnsi" w:hAnsiTheme="minorHAnsi"/>
                <w:szCs w:val="20"/>
              </w:rPr>
            </w:pPr>
            <w:r w:rsidRPr="00715B96">
              <w:rPr>
                <w:rFonts w:asciiTheme="minorHAnsi" w:hAnsiTheme="minorHAnsi"/>
                <w:szCs w:val="20"/>
              </w:rPr>
              <w:t xml:space="preserve">1,8 </w:t>
            </w:r>
            <w:proofErr w:type="spellStart"/>
            <w:r w:rsidRPr="00715B96">
              <w:rPr>
                <w:rFonts w:asciiTheme="minorHAnsi" w:hAnsiTheme="minorHAnsi"/>
                <w:szCs w:val="20"/>
              </w:rPr>
              <w:t>Mln</w:t>
            </w:r>
            <w:proofErr w:type="spellEnd"/>
            <w:r w:rsidRPr="00715B96">
              <w:rPr>
                <w:rFonts w:asciiTheme="minorHAnsi" w:hAnsiTheme="minorHAnsi"/>
                <w:szCs w:val="20"/>
              </w:rPr>
              <w:t xml:space="preserve"> Eur (Hybrid Centralised)</w:t>
            </w:r>
          </w:p>
        </w:tc>
        <w:tc>
          <w:tcPr>
            <w:tcW w:w="1925" w:type="dxa"/>
            <w:vAlign w:val="center"/>
          </w:tcPr>
          <w:p w14:paraId="2C037D89" w14:textId="77777777" w:rsidR="001C6209" w:rsidRPr="003C4338" w:rsidRDefault="001C6209" w:rsidP="007D058C">
            <w:pPr>
              <w:jc w:val="center"/>
              <w:textAlignment w:val="center"/>
              <w:rPr>
                <w:rFonts w:asciiTheme="minorHAnsi" w:hAnsiTheme="minorHAnsi"/>
                <w:szCs w:val="20"/>
              </w:rPr>
            </w:pPr>
            <w:r w:rsidRPr="00715B96">
              <w:rPr>
                <w:rFonts w:asciiTheme="minorHAnsi" w:hAnsiTheme="minorHAnsi"/>
                <w:szCs w:val="20"/>
              </w:rPr>
              <w:t>28%</w:t>
            </w:r>
            <w:r>
              <w:rPr>
                <w:rFonts w:asciiTheme="minorHAnsi" w:hAnsiTheme="minorHAnsi"/>
                <w:szCs w:val="20"/>
              </w:rPr>
              <w:t xml:space="preserve"> </w:t>
            </w:r>
          </w:p>
        </w:tc>
      </w:tr>
      <w:tr w:rsidR="001C6209" w:rsidRPr="003C4338" w14:paraId="172CC0D2" w14:textId="77777777" w:rsidTr="007D058C">
        <w:trPr>
          <w:trHeight w:val="475"/>
          <w:jc w:val="center"/>
        </w:trPr>
        <w:tc>
          <w:tcPr>
            <w:tcW w:w="1694" w:type="dxa"/>
            <w:shd w:val="clear" w:color="auto" w:fill="auto"/>
            <w:tcMar>
              <w:top w:w="72" w:type="dxa"/>
              <w:left w:w="72" w:type="dxa"/>
              <w:bottom w:w="72" w:type="dxa"/>
              <w:right w:w="72" w:type="dxa"/>
            </w:tcMar>
            <w:vAlign w:val="center"/>
            <w:hideMark/>
          </w:tcPr>
          <w:p w14:paraId="4F74370F"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RSOE/Hungary</w:t>
            </w:r>
          </w:p>
        </w:tc>
        <w:tc>
          <w:tcPr>
            <w:tcW w:w="911" w:type="dxa"/>
            <w:shd w:val="clear" w:color="auto" w:fill="auto"/>
            <w:tcMar>
              <w:top w:w="72" w:type="dxa"/>
              <w:left w:w="72" w:type="dxa"/>
              <w:bottom w:w="72" w:type="dxa"/>
              <w:right w:w="72" w:type="dxa"/>
            </w:tcMar>
            <w:vAlign w:val="center"/>
            <w:hideMark/>
          </w:tcPr>
          <w:p w14:paraId="38711DA8"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IWW</w:t>
            </w:r>
          </w:p>
        </w:tc>
        <w:tc>
          <w:tcPr>
            <w:tcW w:w="1637" w:type="dxa"/>
            <w:shd w:val="clear" w:color="auto" w:fill="auto"/>
            <w:tcMar>
              <w:top w:w="72" w:type="dxa"/>
              <w:left w:w="72" w:type="dxa"/>
              <w:bottom w:w="72" w:type="dxa"/>
              <w:right w:w="72" w:type="dxa"/>
            </w:tcMar>
            <w:vAlign w:val="center"/>
            <w:hideMark/>
          </w:tcPr>
          <w:p w14:paraId="668B7C63"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AIS centralised</w:t>
            </w:r>
          </w:p>
        </w:tc>
        <w:tc>
          <w:tcPr>
            <w:tcW w:w="1189" w:type="dxa"/>
            <w:vAlign w:val="center"/>
          </w:tcPr>
          <w:p w14:paraId="102FD150" w14:textId="77777777" w:rsidR="001C6209" w:rsidRPr="003C4338" w:rsidRDefault="001C6209" w:rsidP="007D058C">
            <w:pPr>
              <w:jc w:val="center"/>
              <w:textAlignment w:val="center"/>
              <w:rPr>
                <w:rFonts w:asciiTheme="minorHAnsi" w:hAnsiTheme="minorHAnsi"/>
                <w:color w:val="000000" w:themeColor="text1"/>
                <w:kern w:val="24"/>
                <w:szCs w:val="20"/>
              </w:rPr>
            </w:pPr>
            <w:r w:rsidRPr="003C4338">
              <w:rPr>
                <w:rFonts w:asciiTheme="minorHAnsi" w:hAnsiTheme="minorHAnsi"/>
                <w:color w:val="000000" w:themeColor="text1"/>
                <w:kern w:val="24"/>
                <w:szCs w:val="20"/>
              </w:rPr>
              <w:t>AIS centralised</w:t>
            </w:r>
          </w:p>
        </w:tc>
        <w:tc>
          <w:tcPr>
            <w:tcW w:w="2834" w:type="dxa"/>
            <w:shd w:val="clear" w:color="auto" w:fill="auto"/>
            <w:tcMar>
              <w:top w:w="72" w:type="dxa"/>
              <w:left w:w="72" w:type="dxa"/>
              <w:bottom w:w="72" w:type="dxa"/>
              <w:right w:w="72" w:type="dxa"/>
            </w:tcMar>
            <w:vAlign w:val="center"/>
            <w:hideMark/>
          </w:tcPr>
          <w:p w14:paraId="157D9A65"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szCs w:val="20"/>
              </w:rPr>
              <w:t xml:space="preserve">0,80 </w:t>
            </w:r>
            <w:proofErr w:type="spellStart"/>
            <w:r w:rsidRPr="003C4338">
              <w:rPr>
                <w:rFonts w:asciiTheme="minorHAnsi" w:hAnsiTheme="minorHAnsi"/>
                <w:szCs w:val="20"/>
              </w:rPr>
              <w:t>Mln</w:t>
            </w:r>
            <w:proofErr w:type="spellEnd"/>
            <w:r w:rsidRPr="003C4338">
              <w:rPr>
                <w:rFonts w:asciiTheme="minorHAnsi" w:hAnsiTheme="minorHAnsi"/>
                <w:szCs w:val="20"/>
              </w:rPr>
              <w:t xml:space="preserve"> Eur</w:t>
            </w:r>
          </w:p>
        </w:tc>
        <w:tc>
          <w:tcPr>
            <w:tcW w:w="1925" w:type="dxa"/>
            <w:vAlign w:val="center"/>
          </w:tcPr>
          <w:p w14:paraId="0E98CE3D" w14:textId="77777777" w:rsidR="001C6209" w:rsidRPr="003C4338" w:rsidRDefault="001C6209" w:rsidP="007D058C">
            <w:pPr>
              <w:jc w:val="center"/>
              <w:textAlignment w:val="center"/>
              <w:rPr>
                <w:rFonts w:asciiTheme="minorHAnsi" w:hAnsiTheme="minorHAnsi"/>
                <w:color w:val="000000" w:themeColor="text1"/>
                <w:kern w:val="24"/>
                <w:szCs w:val="20"/>
              </w:rPr>
            </w:pPr>
            <w:r w:rsidRPr="003C4338">
              <w:rPr>
                <w:rFonts w:asciiTheme="minorHAnsi" w:hAnsiTheme="minorHAnsi"/>
                <w:color w:val="000000" w:themeColor="text1"/>
                <w:kern w:val="24"/>
                <w:szCs w:val="20"/>
              </w:rPr>
              <w:t>19%</w:t>
            </w:r>
          </w:p>
        </w:tc>
      </w:tr>
      <w:tr w:rsidR="001C6209" w:rsidRPr="003C4338" w14:paraId="066264E9" w14:textId="77777777" w:rsidTr="007D058C">
        <w:trPr>
          <w:trHeight w:val="446"/>
          <w:jc w:val="center"/>
        </w:trPr>
        <w:tc>
          <w:tcPr>
            <w:tcW w:w="1694" w:type="dxa"/>
            <w:shd w:val="clear" w:color="auto" w:fill="auto"/>
            <w:tcMar>
              <w:top w:w="72" w:type="dxa"/>
              <w:left w:w="72" w:type="dxa"/>
              <w:bottom w:w="72" w:type="dxa"/>
              <w:right w:w="72" w:type="dxa"/>
            </w:tcMar>
            <w:vAlign w:val="center"/>
            <w:hideMark/>
          </w:tcPr>
          <w:p w14:paraId="2AEDF6C8"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WSV/Germany</w:t>
            </w:r>
          </w:p>
        </w:tc>
        <w:tc>
          <w:tcPr>
            <w:tcW w:w="911" w:type="dxa"/>
            <w:shd w:val="clear" w:color="auto" w:fill="auto"/>
            <w:tcMar>
              <w:top w:w="72" w:type="dxa"/>
              <w:left w:w="72" w:type="dxa"/>
              <w:bottom w:w="72" w:type="dxa"/>
              <w:right w:w="72" w:type="dxa"/>
            </w:tcMar>
            <w:vAlign w:val="center"/>
            <w:hideMark/>
          </w:tcPr>
          <w:p w14:paraId="06211CDE"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IWW</w:t>
            </w:r>
          </w:p>
        </w:tc>
        <w:tc>
          <w:tcPr>
            <w:tcW w:w="1637" w:type="dxa"/>
            <w:shd w:val="clear" w:color="auto" w:fill="auto"/>
            <w:tcMar>
              <w:top w:w="72" w:type="dxa"/>
              <w:left w:w="72" w:type="dxa"/>
              <w:bottom w:w="72" w:type="dxa"/>
              <w:right w:w="72" w:type="dxa"/>
            </w:tcMar>
            <w:vAlign w:val="center"/>
            <w:hideMark/>
          </w:tcPr>
          <w:p w14:paraId="3F5D2BB1"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color w:val="000000" w:themeColor="text1"/>
                <w:kern w:val="24"/>
                <w:szCs w:val="20"/>
              </w:rPr>
              <w:t>AIS centralised</w:t>
            </w:r>
          </w:p>
        </w:tc>
        <w:tc>
          <w:tcPr>
            <w:tcW w:w="1189" w:type="dxa"/>
            <w:vAlign w:val="center"/>
          </w:tcPr>
          <w:p w14:paraId="7462043B" w14:textId="77777777" w:rsidR="001C6209" w:rsidRPr="003C4338" w:rsidRDefault="001C6209" w:rsidP="007D058C">
            <w:pPr>
              <w:jc w:val="center"/>
              <w:textAlignment w:val="center"/>
              <w:rPr>
                <w:rFonts w:asciiTheme="minorHAnsi" w:hAnsiTheme="minorHAnsi"/>
                <w:color w:val="000000" w:themeColor="text1"/>
                <w:kern w:val="24"/>
                <w:szCs w:val="20"/>
              </w:rPr>
            </w:pPr>
            <w:r w:rsidRPr="003C4338">
              <w:rPr>
                <w:rFonts w:asciiTheme="minorHAnsi" w:hAnsiTheme="minorHAnsi"/>
                <w:color w:val="000000" w:themeColor="text1"/>
                <w:kern w:val="24"/>
                <w:szCs w:val="20"/>
              </w:rPr>
              <w:t>AIS centralised</w:t>
            </w:r>
          </w:p>
        </w:tc>
        <w:tc>
          <w:tcPr>
            <w:tcW w:w="2834" w:type="dxa"/>
            <w:shd w:val="clear" w:color="auto" w:fill="auto"/>
            <w:tcMar>
              <w:top w:w="72" w:type="dxa"/>
              <w:left w:w="72" w:type="dxa"/>
              <w:bottom w:w="72" w:type="dxa"/>
              <w:right w:w="72" w:type="dxa"/>
            </w:tcMar>
            <w:vAlign w:val="center"/>
            <w:hideMark/>
          </w:tcPr>
          <w:p w14:paraId="6F4950F4" w14:textId="77777777" w:rsidR="001C6209" w:rsidRPr="003C4338" w:rsidRDefault="001C6209" w:rsidP="007D058C">
            <w:pPr>
              <w:jc w:val="center"/>
              <w:textAlignment w:val="center"/>
              <w:rPr>
                <w:rFonts w:asciiTheme="minorHAnsi" w:hAnsiTheme="minorHAnsi"/>
                <w:szCs w:val="20"/>
              </w:rPr>
            </w:pPr>
            <w:r w:rsidRPr="003C4338">
              <w:rPr>
                <w:rFonts w:asciiTheme="minorHAnsi" w:hAnsiTheme="minorHAnsi"/>
                <w:szCs w:val="20"/>
              </w:rPr>
              <w:t xml:space="preserve">0,36 </w:t>
            </w:r>
            <w:proofErr w:type="spellStart"/>
            <w:r w:rsidRPr="003C4338">
              <w:rPr>
                <w:rFonts w:asciiTheme="minorHAnsi" w:hAnsiTheme="minorHAnsi"/>
                <w:szCs w:val="20"/>
              </w:rPr>
              <w:t>Mln</w:t>
            </w:r>
            <w:proofErr w:type="spellEnd"/>
            <w:r w:rsidRPr="003C4338">
              <w:rPr>
                <w:rFonts w:asciiTheme="minorHAnsi" w:hAnsiTheme="minorHAnsi"/>
                <w:szCs w:val="20"/>
              </w:rPr>
              <w:t xml:space="preserve"> Eur</w:t>
            </w:r>
          </w:p>
        </w:tc>
        <w:tc>
          <w:tcPr>
            <w:tcW w:w="1925" w:type="dxa"/>
            <w:vAlign w:val="center"/>
          </w:tcPr>
          <w:p w14:paraId="6AB394DA" w14:textId="77777777" w:rsidR="001C6209" w:rsidRPr="003C4338" w:rsidRDefault="001C6209" w:rsidP="007D058C">
            <w:pPr>
              <w:jc w:val="center"/>
              <w:textAlignment w:val="center"/>
              <w:rPr>
                <w:rFonts w:asciiTheme="minorHAnsi" w:hAnsiTheme="minorHAnsi"/>
                <w:color w:val="000000" w:themeColor="text1"/>
                <w:kern w:val="24"/>
                <w:szCs w:val="20"/>
              </w:rPr>
            </w:pPr>
            <w:r w:rsidRPr="003C4338">
              <w:rPr>
                <w:rFonts w:asciiTheme="minorHAnsi" w:hAnsiTheme="minorHAnsi"/>
                <w:color w:val="000000" w:themeColor="text1"/>
                <w:kern w:val="24"/>
                <w:szCs w:val="20"/>
              </w:rPr>
              <w:t>5%</w:t>
            </w:r>
          </w:p>
        </w:tc>
      </w:tr>
    </w:tbl>
    <w:p w14:paraId="07C5FFD6" w14:textId="77777777" w:rsidR="001C6209" w:rsidRPr="003C4338" w:rsidRDefault="001C6209" w:rsidP="001C6209">
      <w:pPr>
        <w:pStyle w:val="Caption"/>
      </w:pPr>
      <w:r w:rsidRPr="003C4338">
        <w:t xml:space="preserve">Table </w:t>
      </w:r>
      <w:r w:rsidR="00B5051E">
        <w:rPr>
          <w:noProof/>
        </w:rPr>
        <w:fldChar w:fldCharType="begin"/>
      </w:r>
      <w:r w:rsidR="00B5051E">
        <w:rPr>
          <w:noProof/>
        </w:rPr>
        <w:instrText xml:space="preserve"> SEQ Table \* ARABIC </w:instrText>
      </w:r>
      <w:r w:rsidR="00B5051E">
        <w:rPr>
          <w:noProof/>
        </w:rPr>
        <w:fldChar w:fldCharType="separate"/>
      </w:r>
      <w:r w:rsidR="007D058C">
        <w:rPr>
          <w:noProof/>
        </w:rPr>
        <w:t>2</w:t>
      </w:r>
      <w:r w:rsidR="00B5051E">
        <w:rPr>
          <w:noProof/>
        </w:rPr>
        <w:fldChar w:fldCharType="end"/>
      </w:r>
      <w:r w:rsidRPr="003C4338">
        <w:t>: Phase 2 CBA results</w:t>
      </w:r>
    </w:p>
    <w:p w14:paraId="51F46944" w14:textId="77777777" w:rsidR="001C6209" w:rsidRPr="003C4338" w:rsidRDefault="001C6209" w:rsidP="001C6209"/>
    <w:p w14:paraId="1E97B396" w14:textId="77777777" w:rsidR="001C6209" w:rsidRPr="00D61E22" w:rsidRDefault="001C6209" w:rsidP="001C6209">
      <w:pPr>
        <w:pStyle w:val="ListParagraph"/>
        <w:ind w:left="360"/>
        <w:rPr>
          <w:rFonts w:asciiTheme="minorHAnsi" w:hAnsiTheme="minorHAnsi"/>
        </w:rPr>
      </w:pPr>
    </w:p>
    <w:p w14:paraId="3CD1450A" w14:textId="4E3E23D7" w:rsidR="001C6209" w:rsidRPr="00D61E22" w:rsidRDefault="001C6209" w:rsidP="001C6209">
      <w:pPr>
        <w:rPr>
          <w:rFonts w:asciiTheme="minorHAnsi" w:hAnsiTheme="minorHAnsi"/>
        </w:rPr>
      </w:pPr>
      <w:r w:rsidRPr="00D61E22">
        <w:rPr>
          <w:rFonts w:asciiTheme="minorHAnsi" w:hAnsiTheme="minorHAnsi"/>
        </w:rPr>
        <w:t xml:space="preserve">The results demonstrate that in the four countries participating in the Working Groups, the EGNOS-based solution entitles relevant cost reduction in terms of: CAPEX, OPEX, and maintenance (fewer spares and effort to repair). </w:t>
      </w:r>
    </w:p>
    <w:p w14:paraId="11F994BE" w14:textId="43527406" w:rsidR="001C6209" w:rsidRPr="00D61E22" w:rsidRDefault="001C6209" w:rsidP="00D61E22">
      <w:pPr>
        <w:pStyle w:val="BodyText"/>
        <w:rPr>
          <w:rFonts w:asciiTheme="minorHAnsi" w:hAnsiTheme="minorHAnsi"/>
          <w:u w:val="single"/>
          <w:lang w:eastAsia="de-DE"/>
        </w:rPr>
      </w:pPr>
      <w:r w:rsidRPr="00D61E22">
        <w:rPr>
          <w:rFonts w:asciiTheme="minorHAnsi" w:hAnsiTheme="minorHAnsi"/>
        </w:rPr>
        <w:lastRenderedPageBreak/>
        <w:t>The reason for this cost reduction is that the infrastructure in centralised EGNOS-based solutions is lighter (i.e. it requires fewer components) when compared to a classical DGNSS approach.</w:t>
      </w:r>
    </w:p>
    <w:p w14:paraId="3979DB65" w14:textId="77777777" w:rsidR="008F07D1" w:rsidRDefault="008F07D1" w:rsidP="007865BE">
      <w:pPr>
        <w:pStyle w:val="Heading2"/>
        <w:rPr>
          <w:lang w:eastAsia="de-DE"/>
        </w:rPr>
      </w:pPr>
      <w:r>
        <w:rPr>
          <w:lang w:eastAsia="de-DE"/>
        </w:rPr>
        <w:t>Operational Benefits</w:t>
      </w:r>
      <w:r w:rsidR="005D5D4F">
        <w:rPr>
          <w:lang w:eastAsia="de-DE"/>
        </w:rPr>
        <w:t xml:space="preserve"> for IALA SBAS Guidelines Update</w:t>
      </w:r>
    </w:p>
    <w:p w14:paraId="1DE798C4" w14:textId="170573A2" w:rsidR="007E3ABB" w:rsidRPr="00D61E22" w:rsidRDefault="007E3ABB" w:rsidP="008F07D1">
      <w:pPr>
        <w:pStyle w:val="BodyText"/>
        <w:rPr>
          <w:rFonts w:asciiTheme="minorHAnsi" w:hAnsiTheme="minorHAnsi"/>
          <w:lang w:eastAsia="de-DE"/>
        </w:rPr>
      </w:pPr>
      <w:r>
        <w:rPr>
          <w:rFonts w:asciiTheme="minorHAnsi" w:hAnsiTheme="minorHAnsi"/>
          <w:lang w:eastAsia="de-DE"/>
        </w:rPr>
        <w:t>The following</w:t>
      </w:r>
      <w:r w:rsidR="001C6EE2" w:rsidRPr="00D61E22">
        <w:rPr>
          <w:rFonts w:asciiTheme="minorHAnsi" w:hAnsiTheme="minorHAnsi"/>
          <w:lang w:eastAsia="de-DE"/>
        </w:rPr>
        <w:t xml:space="preserve"> operational benefits for the provision of EGNOS-based DGPS corrections have been identified</w:t>
      </w:r>
      <w:r>
        <w:rPr>
          <w:rFonts w:asciiTheme="minorHAnsi" w:hAnsiTheme="minorHAnsi"/>
          <w:lang w:eastAsia="de-DE"/>
        </w:rPr>
        <w:t xml:space="preserve"> in the project</w:t>
      </w:r>
    </w:p>
    <w:p w14:paraId="14534DC7" w14:textId="648D9D0F" w:rsidR="007E3ABB" w:rsidRPr="00D61E22" w:rsidRDefault="007E3ABB" w:rsidP="00D61E22">
      <w:pPr>
        <w:pStyle w:val="ListParagraph"/>
        <w:numPr>
          <w:ilvl w:val="0"/>
          <w:numId w:val="44"/>
        </w:numPr>
        <w:spacing w:after="120"/>
        <w:jc w:val="both"/>
        <w:rPr>
          <w:rFonts w:asciiTheme="minorHAnsi" w:hAnsiTheme="minorHAnsi" w:cs="Tahoma"/>
        </w:rPr>
      </w:pPr>
      <w:r w:rsidRPr="00D61E22">
        <w:rPr>
          <w:rFonts w:asciiTheme="minorHAnsi" w:hAnsiTheme="minorHAnsi" w:cs="Tahoma"/>
          <w:b/>
        </w:rPr>
        <w:t>Reduction of spares and maintenance effort</w:t>
      </w:r>
      <w:r w:rsidRPr="00D61E22">
        <w:rPr>
          <w:rFonts w:asciiTheme="minorHAnsi" w:hAnsiTheme="minorHAnsi" w:cs="Tahoma"/>
        </w:rPr>
        <w:t xml:space="preserve">: The rationalization of the infrastructure </w:t>
      </w:r>
      <w:r w:rsidR="00C3304E">
        <w:rPr>
          <w:rFonts w:asciiTheme="minorHAnsi" w:hAnsiTheme="minorHAnsi" w:cs="Tahoma"/>
        </w:rPr>
        <w:t xml:space="preserve">in a centralised solution </w:t>
      </w:r>
      <w:r w:rsidRPr="00D61E22">
        <w:rPr>
          <w:rFonts w:asciiTheme="minorHAnsi" w:hAnsiTheme="minorHAnsi" w:cs="Tahoma"/>
        </w:rPr>
        <w:t>permits to rely on a more agile and lighter architecture, consisting on a smaller number of devices and tools, also for maintenance purposes. In return, this derives on a reduced number of man-days effort required to perform the maintenance activities.</w:t>
      </w:r>
    </w:p>
    <w:p w14:paraId="32645430" w14:textId="641A9604" w:rsidR="007E3ABB" w:rsidRPr="00D61E22" w:rsidRDefault="007E3ABB">
      <w:pPr>
        <w:pStyle w:val="ListParagraph"/>
        <w:numPr>
          <w:ilvl w:val="0"/>
          <w:numId w:val="44"/>
        </w:numPr>
        <w:jc w:val="both"/>
        <w:rPr>
          <w:rFonts w:asciiTheme="minorHAnsi" w:hAnsiTheme="minorHAnsi" w:cs="Tahoma"/>
        </w:rPr>
      </w:pPr>
      <w:r w:rsidRPr="00D61E22">
        <w:rPr>
          <w:rFonts w:asciiTheme="minorHAnsi" w:hAnsiTheme="minorHAnsi" w:cs="Tahoma"/>
          <w:b/>
        </w:rPr>
        <w:t xml:space="preserve">Increased infrastructure robustness against RF interferences (jamming/spoofing): </w:t>
      </w:r>
      <w:r w:rsidRPr="00D61E22">
        <w:rPr>
          <w:rFonts w:asciiTheme="minorHAnsi" w:hAnsiTheme="minorHAnsi" w:cs="Tahoma"/>
        </w:rPr>
        <w:t xml:space="preserve">In an EGNOS-based centralized architecture Reference Stations (RS) </w:t>
      </w:r>
      <w:r w:rsidR="00C3304E">
        <w:rPr>
          <w:rFonts w:asciiTheme="minorHAnsi" w:hAnsiTheme="minorHAnsi" w:cs="Tahoma"/>
        </w:rPr>
        <w:t>are virtualised and therefore,</w:t>
      </w:r>
      <w:r w:rsidRPr="00D61E22">
        <w:rPr>
          <w:rFonts w:asciiTheme="minorHAnsi" w:hAnsiTheme="minorHAnsi" w:cs="Tahoma"/>
        </w:rPr>
        <w:t xml:space="preserve"> cannot be jammed or spoofed. Only Integrity Monitoring Stations (IMS) can suffer this attack, which can be minimized by adding redundant IMS. In traditional DGNSS systems, however, since normally both RS and IMS are co-located, they can be equally jammed/spoofed. </w:t>
      </w:r>
    </w:p>
    <w:p w14:paraId="36BD8BA4" w14:textId="1BFCA73E" w:rsidR="007E3ABB" w:rsidRPr="00D61E22" w:rsidRDefault="007E3ABB" w:rsidP="007E3ABB">
      <w:pPr>
        <w:pStyle w:val="ListParagraph"/>
        <w:numPr>
          <w:ilvl w:val="0"/>
          <w:numId w:val="44"/>
        </w:numPr>
        <w:jc w:val="both"/>
        <w:rPr>
          <w:rFonts w:asciiTheme="minorHAnsi" w:hAnsiTheme="minorHAnsi" w:cs="Tahoma"/>
        </w:rPr>
      </w:pPr>
      <w:r w:rsidRPr="00D61E22">
        <w:rPr>
          <w:rFonts w:asciiTheme="minorHAnsi" w:hAnsiTheme="minorHAnsi" w:cs="Tahoma"/>
          <w:b/>
        </w:rPr>
        <w:t>Increased infrastructure robustness against failures:</w:t>
      </w:r>
      <w:r w:rsidRPr="00D61E22">
        <w:rPr>
          <w:rFonts w:asciiTheme="minorHAnsi" w:hAnsiTheme="minorHAnsi" w:cs="Tahoma"/>
        </w:rPr>
        <w:t xml:space="preserve"> When EGNOS is used in combination with traditional DGNSS (hybrid solution), EGNOS introduces redundancy on the source of the corrections. Furthermore, EGNOS corrections can be obtained via a double source: </w:t>
      </w:r>
      <w:proofErr w:type="spellStart"/>
      <w:r w:rsidRPr="00D61E22">
        <w:rPr>
          <w:rFonts w:asciiTheme="minorHAnsi" w:hAnsiTheme="minorHAnsi" w:cs="Tahoma"/>
        </w:rPr>
        <w:t>SiS</w:t>
      </w:r>
      <w:proofErr w:type="spellEnd"/>
      <w:r w:rsidRPr="00D61E22">
        <w:rPr>
          <w:rFonts w:asciiTheme="minorHAnsi" w:hAnsiTheme="minorHAnsi" w:cs="Tahoma"/>
        </w:rPr>
        <w:t xml:space="preserve"> or EDAS. This implies that, when a source of corrections fails, the system can automatically switch to a different source to avoid service interruption. Thus, the system is more robust to potential malfunctions coming either from</w:t>
      </w:r>
      <w:r w:rsidR="00160CE1">
        <w:rPr>
          <w:rFonts w:asciiTheme="minorHAnsi" w:hAnsiTheme="minorHAnsi" w:cs="Tahoma"/>
        </w:rPr>
        <w:t xml:space="preserve"> HW failures or SW failures.</w:t>
      </w:r>
    </w:p>
    <w:p w14:paraId="2D945EE0" w14:textId="77777777" w:rsidR="007E3ABB" w:rsidRPr="00D61E22" w:rsidRDefault="007E3ABB" w:rsidP="00D61E22">
      <w:pPr>
        <w:pStyle w:val="ListParagraph"/>
        <w:numPr>
          <w:ilvl w:val="0"/>
          <w:numId w:val="44"/>
        </w:numPr>
        <w:jc w:val="both"/>
        <w:rPr>
          <w:rFonts w:asciiTheme="minorHAnsi" w:hAnsiTheme="minorHAnsi" w:cs="Tahoma"/>
        </w:rPr>
      </w:pPr>
      <w:r w:rsidRPr="00D61E22">
        <w:rPr>
          <w:rFonts w:asciiTheme="minorHAnsi" w:hAnsiTheme="minorHAnsi" w:cs="Tahoma"/>
          <w:b/>
        </w:rPr>
        <w:t xml:space="preserve">Synergies between IALA and AIS systems: </w:t>
      </w:r>
      <w:r w:rsidRPr="00D61E22">
        <w:rPr>
          <w:rFonts w:asciiTheme="minorHAnsi" w:hAnsiTheme="minorHAnsi" w:cs="Tahoma"/>
        </w:rPr>
        <w:t>A centralised EGNOS solution could increase synergies between IALA and AIS systems, since the central server could generate corrections for both systems in an efficient way thanks to the VRS concept. These synergies could in return decrease the costs of generating corrections to be broadcasted by both systems.</w:t>
      </w:r>
    </w:p>
    <w:p w14:paraId="7B3B7F88" w14:textId="30087B90" w:rsidR="007E3ABB" w:rsidRPr="00D61E22" w:rsidRDefault="007E3ABB" w:rsidP="00D61E22">
      <w:pPr>
        <w:pStyle w:val="ListParagraph"/>
        <w:numPr>
          <w:ilvl w:val="0"/>
          <w:numId w:val="44"/>
        </w:numPr>
        <w:jc w:val="both"/>
        <w:rPr>
          <w:rFonts w:asciiTheme="minorHAnsi" w:hAnsiTheme="minorHAnsi" w:cs="Tahoma"/>
        </w:rPr>
      </w:pPr>
      <w:r w:rsidRPr="00D61E22">
        <w:rPr>
          <w:rFonts w:asciiTheme="minorHAnsi" w:hAnsiTheme="minorHAnsi" w:cs="Tahoma"/>
          <w:b/>
        </w:rPr>
        <w:t xml:space="preserve">Enhanced integrity at system level: </w:t>
      </w:r>
      <w:r w:rsidRPr="00D61E22">
        <w:rPr>
          <w:rFonts w:asciiTheme="minorHAnsi" w:hAnsiTheme="minorHAnsi" w:cs="Tahoma"/>
        </w:rPr>
        <w:t xml:space="preserve">EGNOS corrections contain </w:t>
      </w:r>
      <w:r w:rsidRPr="00D61E22">
        <w:rPr>
          <w:rFonts w:asciiTheme="minorHAnsi" w:hAnsiTheme="minorHAnsi" w:cs="Tahoma"/>
          <w:b/>
        </w:rPr>
        <w:t>integrity alerts</w:t>
      </w:r>
      <w:r w:rsidRPr="00D61E22">
        <w:rPr>
          <w:rFonts w:asciiTheme="minorHAnsi" w:hAnsiTheme="minorHAnsi" w:cs="Tahoma"/>
        </w:rPr>
        <w:t xml:space="preserve"> either in the Integrity Information Message (MT6) or the Fast Corrections Messages (MT2 to MT5 and MT24). The application SW will map these integrity alerts into </w:t>
      </w:r>
      <w:r w:rsidRPr="00D61E22">
        <w:rPr>
          <w:rFonts w:asciiTheme="minorHAnsi" w:hAnsiTheme="minorHAnsi" w:cs="Tahoma"/>
          <w:b/>
        </w:rPr>
        <w:t>DGNSS RTCM format</w:t>
      </w:r>
      <w:r w:rsidRPr="00D61E22">
        <w:rPr>
          <w:rFonts w:asciiTheme="minorHAnsi" w:hAnsiTheme="minorHAnsi" w:cs="Tahoma"/>
        </w:rPr>
        <w:t xml:space="preserve"> for transmission by either setting the DGNSS MT1/9 PRC field to binary 1000 0000 0000 0000 (which means this satellite cannot be used for the navigation solution) or even, when the alert condition affects all satellites, by setting the Station Health field to “not working”. On top of the EGNOS integrity check, the DGNSS system will continue providing alerts also at integrity monitoring level, as they currently do.</w:t>
      </w:r>
    </w:p>
    <w:p w14:paraId="76D06C46" w14:textId="292FAD15" w:rsidR="008F07D1" w:rsidRPr="008F07D1" w:rsidRDefault="008F07D1" w:rsidP="008F07D1">
      <w:pPr>
        <w:pStyle w:val="BodyText"/>
        <w:rPr>
          <w:rFonts w:asciiTheme="minorHAnsi" w:hAnsiTheme="minorHAnsi"/>
          <w:lang w:eastAsia="de-DE"/>
        </w:rPr>
      </w:pPr>
    </w:p>
    <w:p w14:paraId="34D6B67C" w14:textId="77777777" w:rsidR="007865BE" w:rsidRDefault="007865BE" w:rsidP="00D61E22">
      <w:pPr>
        <w:pStyle w:val="Heading2"/>
        <w:keepNext/>
        <w:rPr>
          <w:lang w:eastAsia="de-DE"/>
        </w:rPr>
      </w:pPr>
      <w:r>
        <w:rPr>
          <w:lang w:eastAsia="de-DE"/>
        </w:rPr>
        <w:t>Project Recommendatio</w:t>
      </w:r>
      <w:r w:rsidR="00727E99">
        <w:rPr>
          <w:lang w:eastAsia="de-DE"/>
        </w:rPr>
        <w:t>ns</w:t>
      </w:r>
    </w:p>
    <w:p w14:paraId="6BE939EC" w14:textId="37D682D4" w:rsidR="007D058C" w:rsidRDefault="00727E99" w:rsidP="00D61E22">
      <w:pPr>
        <w:pStyle w:val="BodyText"/>
        <w:keepNext/>
      </w:pPr>
      <w:r w:rsidRPr="003C4338">
        <w:t>Th</w:t>
      </w:r>
      <w:r w:rsidR="007D058C">
        <w:t>is section contains th</w:t>
      </w:r>
      <w:r w:rsidRPr="003C4338">
        <w:t xml:space="preserve">e recommendations </w:t>
      </w:r>
      <w:r w:rsidR="007D058C">
        <w:t>that have been derived from the project</w:t>
      </w:r>
      <w:r w:rsidRPr="003C4338">
        <w:t xml:space="preserve">. </w:t>
      </w:r>
      <w:r w:rsidR="00F12E00">
        <w:fldChar w:fldCharType="begin"/>
      </w:r>
      <w:r w:rsidR="00F12E00">
        <w:instrText xml:space="preserve"> REF _Ref535910896 \h </w:instrText>
      </w:r>
      <w:r w:rsidR="00F12E00">
        <w:fldChar w:fldCharType="separate"/>
      </w:r>
      <w:r w:rsidR="007D058C" w:rsidRPr="003C4338">
        <w:t xml:space="preserve">Table </w:t>
      </w:r>
      <w:r w:rsidR="007D058C">
        <w:rPr>
          <w:noProof/>
        </w:rPr>
        <w:t>3</w:t>
      </w:r>
      <w:r w:rsidR="00F12E00">
        <w:fldChar w:fldCharType="end"/>
      </w:r>
      <w:r w:rsidR="00F12E00">
        <w:t xml:space="preserve"> </w:t>
      </w:r>
      <w:r w:rsidR="007D058C">
        <w:t>details</w:t>
      </w:r>
      <w:r w:rsidR="00F12E00">
        <w:t xml:space="preserve"> the recommendations to be considered by National Competent Authorities </w:t>
      </w:r>
      <w:r w:rsidR="007D058C" w:rsidRPr="00727E99">
        <w:rPr>
          <w:rFonts w:asciiTheme="minorHAnsi" w:hAnsiTheme="minorHAnsi"/>
        </w:rPr>
        <w:t>when implementing an Aid to Navigation service based on EGNOS (centralised or hybrid architecture):</w:t>
      </w:r>
    </w:p>
    <w:tbl>
      <w:tblPr>
        <w:tblW w:w="8227" w:type="dxa"/>
        <w:jc w:val="center"/>
        <w:tblLayout w:type="fixed"/>
        <w:tblCellMar>
          <w:left w:w="0" w:type="dxa"/>
          <w:right w:w="0" w:type="dxa"/>
        </w:tblCellMar>
        <w:tblLook w:val="04A0" w:firstRow="1" w:lastRow="0" w:firstColumn="1" w:lastColumn="0" w:noHBand="0" w:noVBand="1"/>
      </w:tblPr>
      <w:tblGrid>
        <w:gridCol w:w="924"/>
        <w:gridCol w:w="1134"/>
        <w:gridCol w:w="6169"/>
      </w:tblGrid>
      <w:tr w:rsidR="00160CE1" w:rsidRPr="00953A3B" w14:paraId="63A5175B" w14:textId="77777777" w:rsidTr="00160CE1">
        <w:trPr>
          <w:trHeight w:val="686"/>
          <w:tblHeader/>
          <w:jc w:val="center"/>
        </w:trPr>
        <w:tc>
          <w:tcPr>
            <w:tcW w:w="924" w:type="dxa"/>
            <w:tcBorders>
              <w:top w:val="single" w:sz="2" w:space="0" w:color="191C1F"/>
              <w:left w:val="single" w:sz="2" w:space="0" w:color="191C1F"/>
              <w:bottom w:val="single" w:sz="2" w:space="0" w:color="191C1F"/>
              <w:right w:val="single" w:sz="2" w:space="0" w:color="191C1F"/>
            </w:tcBorders>
            <w:shd w:val="clear" w:color="auto" w:fill="1B4973"/>
            <w:vAlign w:val="center"/>
          </w:tcPr>
          <w:p w14:paraId="567F7A5F" w14:textId="7A728524" w:rsidR="00160CE1" w:rsidRPr="00D61E22" w:rsidRDefault="00160CE1">
            <w:pPr>
              <w:keepNext/>
              <w:jc w:val="center"/>
              <w:rPr>
                <w:rFonts w:asciiTheme="minorHAnsi" w:hAnsiTheme="minorHAnsi" w:cstheme="minorHAnsi"/>
                <w:b/>
                <w:bCs/>
                <w:i/>
                <w:color w:val="FFFFFF"/>
                <w:sz w:val="18"/>
                <w:szCs w:val="18"/>
              </w:rPr>
            </w:pPr>
            <w:r w:rsidRPr="00D61E22">
              <w:rPr>
                <w:rFonts w:asciiTheme="minorHAnsi" w:hAnsiTheme="minorHAnsi" w:cstheme="minorHAnsi"/>
                <w:b/>
                <w:bCs/>
                <w:i/>
                <w:color w:val="FFFFFF"/>
                <w:sz w:val="18"/>
                <w:szCs w:val="18"/>
              </w:rPr>
              <w:t>ID</w:t>
            </w:r>
          </w:p>
        </w:tc>
        <w:tc>
          <w:tcPr>
            <w:tcW w:w="1134" w:type="dxa"/>
            <w:tcBorders>
              <w:top w:val="single" w:sz="2" w:space="0" w:color="191C1F"/>
              <w:left w:val="single" w:sz="2" w:space="0" w:color="191C1F"/>
              <w:bottom w:val="single" w:sz="2" w:space="0" w:color="191C1F"/>
              <w:right w:val="single" w:sz="2" w:space="0" w:color="191C1F"/>
            </w:tcBorders>
            <w:shd w:val="clear" w:color="auto" w:fill="1B4973"/>
            <w:vAlign w:val="center"/>
          </w:tcPr>
          <w:p w14:paraId="28DF1457" w14:textId="77777777" w:rsidR="00160CE1" w:rsidRDefault="00160CE1" w:rsidP="008F07D1">
            <w:pPr>
              <w:keepNext/>
              <w:jc w:val="center"/>
              <w:rPr>
                <w:rFonts w:asciiTheme="minorHAnsi" w:hAnsiTheme="minorHAnsi" w:cstheme="minorHAnsi"/>
                <w:b/>
                <w:bCs/>
                <w:i/>
                <w:color w:val="FFFFFF"/>
                <w:sz w:val="18"/>
                <w:szCs w:val="18"/>
              </w:rPr>
            </w:pPr>
            <w:r w:rsidRPr="00D61E22">
              <w:rPr>
                <w:rFonts w:asciiTheme="minorHAnsi" w:hAnsiTheme="minorHAnsi" w:cstheme="minorHAnsi"/>
                <w:b/>
                <w:bCs/>
                <w:i/>
                <w:color w:val="FFFFFF"/>
                <w:sz w:val="18"/>
                <w:szCs w:val="18"/>
              </w:rPr>
              <w:t>System</w:t>
            </w:r>
          </w:p>
          <w:p w14:paraId="1BACAD24" w14:textId="111C15D7" w:rsidR="00160CE1" w:rsidRPr="00D61E22" w:rsidRDefault="00160CE1" w:rsidP="008F07D1">
            <w:pPr>
              <w:keepNext/>
              <w:jc w:val="center"/>
              <w:rPr>
                <w:rFonts w:asciiTheme="minorHAnsi" w:hAnsiTheme="minorHAnsi" w:cstheme="minorHAnsi"/>
                <w:b/>
                <w:bCs/>
                <w:i/>
                <w:color w:val="FFFFFF"/>
                <w:sz w:val="18"/>
                <w:szCs w:val="18"/>
              </w:rPr>
            </w:pPr>
            <w:r>
              <w:rPr>
                <w:rFonts w:asciiTheme="minorHAnsi" w:hAnsiTheme="minorHAnsi" w:cstheme="minorHAnsi"/>
                <w:b/>
                <w:bCs/>
                <w:i/>
                <w:color w:val="FFFFFF"/>
                <w:sz w:val="18"/>
                <w:szCs w:val="18"/>
              </w:rPr>
              <w:t>(AIS/IALA)</w:t>
            </w:r>
          </w:p>
        </w:tc>
        <w:tc>
          <w:tcPr>
            <w:tcW w:w="6169"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4A7B04BC" w14:textId="77777777" w:rsidR="00160CE1" w:rsidRPr="00D61E22" w:rsidRDefault="00160CE1" w:rsidP="008F07D1">
            <w:pPr>
              <w:keepNext/>
              <w:jc w:val="center"/>
              <w:rPr>
                <w:rFonts w:asciiTheme="minorHAnsi" w:hAnsiTheme="minorHAnsi" w:cstheme="minorHAnsi"/>
                <w:i/>
                <w:color w:val="FFFFFF"/>
                <w:sz w:val="18"/>
                <w:szCs w:val="18"/>
              </w:rPr>
            </w:pPr>
            <w:r w:rsidRPr="00D61E22">
              <w:rPr>
                <w:rFonts w:asciiTheme="minorHAnsi" w:hAnsiTheme="minorHAnsi" w:cstheme="minorHAnsi"/>
                <w:b/>
                <w:bCs/>
                <w:i/>
                <w:color w:val="FFFFFF"/>
                <w:sz w:val="18"/>
                <w:szCs w:val="18"/>
              </w:rPr>
              <w:t>Recommendation</w:t>
            </w:r>
          </w:p>
        </w:tc>
      </w:tr>
      <w:tr w:rsidR="00160CE1" w:rsidRPr="00953A3B" w14:paraId="0C0DD0E1" w14:textId="77777777" w:rsidTr="00160CE1">
        <w:trPr>
          <w:trHeight w:val="501"/>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0780694F" w14:textId="72AB558B" w:rsidR="00160CE1" w:rsidRPr="00D61E22" w:rsidRDefault="00160CE1">
            <w:pPr>
              <w:jc w:val="center"/>
              <w:rPr>
                <w:rFonts w:asciiTheme="minorHAnsi" w:hAnsiTheme="minorHAnsi" w:cstheme="minorHAnsi"/>
                <w:i/>
                <w:sz w:val="18"/>
                <w:szCs w:val="18"/>
              </w:rPr>
            </w:pPr>
            <w:r>
              <w:rPr>
                <w:rFonts w:asciiTheme="minorHAnsi" w:hAnsiTheme="minorHAnsi" w:cstheme="minorHAnsi"/>
                <w:i/>
                <w:sz w:val="18"/>
                <w:szCs w:val="18"/>
              </w:rPr>
              <w:t>1</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2B9F2F68" w14:textId="73866FEA" w:rsidR="00160CE1" w:rsidRPr="00D61E22" w:rsidRDefault="00160CE1" w:rsidP="007D058C">
            <w:pPr>
              <w:jc w:val="center"/>
              <w:rPr>
                <w:rFonts w:asciiTheme="minorHAnsi" w:hAnsiTheme="minorHAnsi" w:cstheme="minorHAnsi"/>
                <w:i/>
                <w:sz w:val="18"/>
                <w:szCs w:val="18"/>
              </w:rPr>
            </w:pPr>
            <w:r w:rsidRPr="00D61E22">
              <w:rPr>
                <w:rFonts w:asciiTheme="minorHAnsi" w:hAnsiTheme="minorHAnsi" w:cstheme="minorHAnsi"/>
                <w:i/>
                <w:sz w:val="18"/>
                <w:szCs w:val="18"/>
              </w:rPr>
              <w:t>Any</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14EA76DC" w14:textId="77777777" w:rsidR="00160CE1" w:rsidRPr="00D61E22" w:rsidRDefault="00160CE1" w:rsidP="007D058C">
            <w:pPr>
              <w:rPr>
                <w:rFonts w:asciiTheme="minorHAnsi" w:hAnsiTheme="minorHAnsi" w:cstheme="minorHAnsi"/>
                <w:i/>
                <w:sz w:val="18"/>
                <w:szCs w:val="18"/>
              </w:rPr>
            </w:pPr>
            <w:r w:rsidRPr="00D61E22">
              <w:rPr>
                <w:rFonts w:asciiTheme="minorHAnsi" w:hAnsiTheme="minorHAnsi" w:cstheme="minorHAnsi"/>
                <w:i/>
                <w:sz w:val="18"/>
                <w:szCs w:val="18"/>
              </w:rPr>
              <w:t xml:space="preserve">Ensure good communications between monitoring stations to server and between server to transmission sites (by setting up a) SLA with communications provider, b) redundancy of monitoring stations, or c) redundancy of communication lines </w:t>
            </w:r>
          </w:p>
        </w:tc>
      </w:tr>
      <w:tr w:rsidR="00160CE1" w:rsidRPr="00953A3B" w14:paraId="721959F3" w14:textId="77777777" w:rsidTr="00160CE1">
        <w:trPr>
          <w:trHeight w:val="501"/>
          <w:jc w:val="center"/>
        </w:trPr>
        <w:tc>
          <w:tcPr>
            <w:tcW w:w="924" w:type="dxa"/>
            <w:tcBorders>
              <w:top w:val="single" w:sz="18" w:space="0" w:color="005A8E"/>
              <w:left w:val="single" w:sz="2" w:space="0" w:color="191C1F"/>
              <w:bottom w:val="single" w:sz="18" w:space="0" w:color="005A8E"/>
              <w:right w:val="single" w:sz="2" w:space="0" w:color="191C1F"/>
            </w:tcBorders>
            <w:vAlign w:val="center"/>
          </w:tcPr>
          <w:p w14:paraId="20A019B6" w14:textId="31FD9AF3" w:rsidR="00160CE1" w:rsidRPr="00D61E22" w:rsidRDefault="00160CE1">
            <w:pPr>
              <w:jc w:val="center"/>
              <w:rPr>
                <w:rFonts w:asciiTheme="minorHAnsi" w:hAnsiTheme="minorHAnsi" w:cstheme="minorHAnsi"/>
                <w:i/>
                <w:sz w:val="18"/>
                <w:szCs w:val="18"/>
              </w:rPr>
            </w:pPr>
            <w:r>
              <w:rPr>
                <w:rFonts w:asciiTheme="minorHAnsi" w:hAnsiTheme="minorHAnsi" w:cstheme="minorHAnsi"/>
                <w:i/>
                <w:sz w:val="18"/>
                <w:szCs w:val="18"/>
              </w:rPr>
              <w:t>2</w:t>
            </w:r>
          </w:p>
        </w:tc>
        <w:tc>
          <w:tcPr>
            <w:tcW w:w="1134" w:type="dxa"/>
            <w:tcBorders>
              <w:top w:val="single" w:sz="18" w:space="0" w:color="005A8E"/>
              <w:left w:val="single" w:sz="2" w:space="0" w:color="191C1F"/>
              <w:bottom w:val="single" w:sz="18" w:space="0" w:color="005A8E"/>
              <w:right w:val="single" w:sz="2" w:space="0" w:color="191C1F"/>
            </w:tcBorders>
            <w:shd w:val="clear" w:color="auto" w:fill="auto"/>
            <w:vAlign w:val="center"/>
          </w:tcPr>
          <w:p w14:paraId="36311631" w14:textId="6454B491" w:rsidR="00160CE1" w:rsidRPr="00D61E22" w:rsidRDefault="00160CE1" w:rsidP="007D058C">
            <w:pPr>
              <w:jc w:val="center"/>
              <w:rPr>
                <w:rFonts w:asciiTheme="minorHAnsi" w:hAnsiTheme="minorHAnsi" w:cstheme="minorHAnsi"/>
                <w:i/>
                <w:sz w:val="18"/>
                <w:szCs w:val="18"/>
              </w:rPr>
            </w:pPr>
            <w:r w:rsidRPr="00D61E22">
              <w:rPr>
                <w:rFonts w:asciiTheme="minorHAnsi" w:hAnsiTheme="minorHAnsi" w:cstheme="minorHAnsi"/>
                <w:i/>
                <w:sz w:val="18"/>
                <w:szCs w:val="18"/>
              </w:rPr>
              <w:t>Any</w:t>
            </w:r>
          </w:p>
        </w:tc>
        <w:tc>
          <w:tcPr>
            <w:tcW w:w="6169" w:type="dxa"/>
            <w:tcBorders>
              <w:top w:val="single" w:sz="18" w:space="0" w:color="005A8E"/>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142D1DF6" w14:textId="77777777" w:rsidR="00160CE1" w:rsidRPr="00D61E22" w:rsidRDefault="00160CE1" w:rsidP="007D058C">
            <w:pPr>
              <w:rPr>
                <w:rFonts w:asciiTheme="minorHAnsi" w:hAnsiTheme="minorHAnsi" w:cstheme="minorHAnsi"/>
                <w:i/>
                <w:sz w:val="18"/>
                <w:szCs w:val="18"/>
              </w:rPr>
            </w:pPr>
            <w:r w:rsidRPr="00D61E22">
              <w:rPr>
                <w:rFonts w:asciiTheme="minorHAnsi" w:hAnsiTheme="minorHAnsi" w:cstheme="minorHAnsi"/>
                <w:i/>
                <w:sz w:val="18"/>
                <w:szCs w:val="18"/>
              </w:rPr>
              <w:t>Use infrastructure equipment of geodetic quality</w:t>
            </w:r>
          </w:p>
        </w:tc>
      </w:tr>
      <w:tr w:rsidR="00160CE1" w:rsidRPr="00953A3B" w14:paraId="213C1B24" w14:textId="77777777" w:rsidTr="00160CE1">
        <w:trPr>
          <w:trHeight w:val="501"/>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603D5E14" w14:textId="692E3404" w:rsidR="00160CE1" w:rsidRPr="00D61E22" w:rsidRDefault="00160CE1">
            <w:pPr>
              <w:jc w:val="center"/>
              <w:rPr>
                <w:rFonts w:asciiTheme="minorHAnsi" w:hAnsiTheme="minorHAnsi" w:cstheme="minorHAnsi"/>
                <w:i/>
                <w:sz w:val="18"/>
                <w:szCs w:val="18"/>
              </w:rPr>
            </w:pPr>
            <w:r>
              <w:rPr>
                <w:rFonts w:asciiTheme="minorHAnsi" w:hAnsiTheme="minorHAnsi" w:cstheme="minorHAnsi"/>
                <w:i/>
                <w:sz w:val="18"/>
                <w:szCs w:val="18"/>
              </w:rPr>
              <w:t>3</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015FD1FE" w14:textId="39071856" w:rsidR="00160CE1" w:rsidRPr="00D61E22" w:rsidRDefault="00160CE1" w:rsidP="007D058C">
            <w:pPr>
              <w:jc w:val="center"/>
              <w:rPr>
                <w:rFonts w:asciiTheme="minorHAnsi" w:hAnsiTheme="minorHAnsi" w:cstheme="minorHAnsi"/>
                <w:i/>
                <w:sz w:val="18"/>
                <w:szCs w:val="18"/>
              </w:rPr>
            </w:pPr>
            <w:r w:rsidRPr="00D61E22">
              <w:rPr>
                <w:rFonts w:asciiTheme="minorHAnsi" w:hAnsiTheme="minorHAnsi" w:cstheme="minorHAnsi"/>
                <w:i/>
                <w:sz w:val="18"/>
                <w:szCs w:val="18"/>
              </w:rPr>
              <w:t>Any</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5407AAAE" w14:textId="77777777" w:rsidR="00160CE1" w:rsidRPr="00D61E22" w:rsidRDefault="00160CE1" w:rsidP="007D058C">
            <w:pPr>
              <w:rPr>
                <w:rFonts w:asciiTheme="minorHAnsi" w:hAnsiTheme="minorHAnsi" w:cstheme="minorHAnsi"/>
                <w:i/>
                <w:sz w:val="18"/>
                <w:szCs w:val="18"/>
              </w:rPr>
            </w:pPr>
            <w:r w:rsidRPr="00D61E22">
              <w:rPr>
                <w:rFonts w:asciiTheme="minorHAnsi" w:hAnsiTheme="minorHAnsi" w:cstheme="minorHAnsi"/>
                <w:i/>
                <w:sz w:val="18"/>
                <w:szCs w:val="18"/>
              </w:rPr>
              <w:t>Ensure good locations for installed antennas (free of multipath effects)</w:t>
            </w:r>
          </w:p>
        </w:tc>
      </w:tr>
      <w:tr w:rsidR="00160CE1" w:rsidRPr="00953A3B" w14:paraId="32E44927" w14:textId="77777777" w:rsidTr="00160CE1">
        <w:trPr>
          <w:trHeight w:val="501"/>
          <w:jc w:val="center"/>
        </w:trPr>
        <w:tc>
          <w:tcPr>
            <w:tcW w:w="92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4ABFFEEE" w14:textId="2C8E7231" w:rsidR="00160CE1" w:rsidRPr="00D61E22" w:rsidRDefault="00160CE1">
            <w:pPr>
              <w:jc w:val="center"/>
              <w:rPr>
                <w:rFonts w:asciiTheme="minorHAnsi" w:hAnsiTheme="minorHAnsi" w:cstheme="minorHAnsi"/>
                <w:i/>
                <w:sz w:val="18"/>
                <w:szCs w:val="18"/>
              </w:rPr>
            </w:pPr>
            <w:r>
              <w:rPr>
                <w:rFonts w:asciiTheme="minorHAnsi" w:hAnsiTheme="minorHAnsi" w:cstheme="minorHAnsi"/>
                <w:i/>
                <w:sz w:val="18"/>
                <w:szCs w:val="18"/>
              </w:rPr>
              <w:t>4</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41085A5B" w14:textId="2D4F0001" w:rsidR="00160CE1" w:rsidRPr="00D61E22" w:rsidRDefault="00160CE1" w:rsidP="007D058C">
            <w:pPr>
              <w:jc w:val="center"/>
              <w:rPr>
                <w:rFonts w:asciiTheme="minorHAnsi" w:hAnsiTheme="minorHAnsi" w:cstheme="minorHAnsi"/>
                <w:i/>
                <w:sz w:val="18"/>
                <w:szCs w:val="18"/>
              </w:rPr>
            </w:pPr>
            <w:r w:rsidRPr="00D61E22">
              <w:rPr>
                <w:rFonts w:asciiTheme="minorHAnsi" w:hAnsiTheme="minorHAnsi" w:cstheme="minorHAnsi"/>
                <w:i/>
                <w:sz w:val="18"/>
                <w:szCs w:val="18"/>
              </w:rPr>
              <w:t>Any</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787F35F0" w14:textId="77777777" w:rsidR="00160CE1" w:rsidRPr="00D61E22" w:rsidRDefault="00160CE1" w:rsidP="007D058C">
            <w:pPr>
              <w:rPr>
                <w:rFonts w:asciiTheme="minorHAnsi" w:hAnsiTheme="minorHAnsi" w:cstheme="minorHAnsi"/>
                <w:i/>
                <w:sz w:val="18"/>
                <w:szCs w:val="18"/>
              </w:rPr>
            </w:pPr>
            <w:r w:rsidRPr="00D61E22">
              <w:rPr>
                <w:rFonts w:asciiTheme="minorHAnsi" w:hAnsiTheme="minorHAnsi" w:cstheme="minorHAnsi"/>
                <w:i/>
                <w:sz w:val="18"/>
                <w:szCs w:val="18"/>
              </w:rPr>
              <w:t>Ensure that old corrections are not buffered when a communications outage occurs</w:t>
            </w:r>
          </w:p>
        </w:tc>
      </w:tr>
      <w:tr w:rsidR="00160CE1" w:rsidRPr="00953A3B" w14:paraId="1927DFAC" w14:textId="77777777" w:rsidTr="00160CE1">
        <w:trPr>
          <w:trHeight w:val="554"/>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1EDA1190" w14:textId="6FBF9B7D" w:rsidR="00160CE1" w:rsidRPr="00D61E22" w:rsidRDefault="00160CE1">
            <w:pPr>
              <w:jc w:val="center"/>
              <w:rPr>
                <w:rFonts w:asciiTheme="minorHAnsi" w:hAnsiTheme="minorHAnsi" w:cstheme="minorHAnsi"/>
                <w:i/>
                <w:sz w:val="18"/>
                <w:szCs w:val="18"/>
              </w:rPr>
            </w:pPr>
            <w:r>
              <w:rPr>
                <w:rFonts w:asciiTheme="minorHAnsi" w:hAnsiTheme="minorHAnsi" w:cstheme="minorHAnsi"/>
                <w:i/>
                <w:sz w:val="18"/>
                <w:szCs w:val="18"/>
              </w:rPr>
              <w:t>5</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2D6BD924" w14:textId="42A3BEC3" w:rsidR="00160CE1" w:rsidRPr="00D61E22" w:rsidRDefault="00160CE1" w:rsidP="007D058C">
            <w:pPr>
              <w:jc w:val="center"/>
              <w:rPr>
                <w:rFonts w:asciiTheme="minorHAnsi" w:hAnsiTheme="minorHAnsi" w:cstheme="minorHAnsi"/>
                <w:i/>
                <w:sz w:val="18"/>
                <w:szCs w:val="18"/>
              </w:rPr>
            </w:pPr>
            <w:r w:rsidRPr="00D61E22">
              <w:rPr>
                <w:rFonts w:asciiTheme="minorHAnsi" w:hAnsiTheme="minorHAnsi" w:cstheme="minorHAnsi"/>
                <w:i/>
                <w:sz w:val="18"/>
                <w:szCs w:val="18"/>
              </w:rPr>
              <w:t>AIS</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1D760B3A" w14:textId="693E20EB" w:rsidR="00160CE1" w:rsidRPr="00D61E22" w:rsidRDefault="00160CE1" w:rsidP="001A76FE">
            <w:pPr>
              <w:rPr>
                <w:rFonts w:asciiTheme="minorHAnsi" w:hAnsiTheme="minorHAnsi" w:cstheme="minorHAnsi"/>
                <w:i/>
                <w:sz w:val="18"/>
                <w:szCs w:val="18"/>
              </w:rPr>
            </w:pPr>
            <w:r w:rsidRPr="00D61E22">
              <w:rPr>
                <w:rFonts w:asciiTheme="minorHAnsi" w:hAnsiTheme="minorHAnsi" w:cstheme="minorHAnsi"/>
                <w:i/>
                <w:sz w:val="18"/>
                <w:szCs w:val="18"/>
              </w:rPr>
              <w:t xml:space="preserve">Verify that owned AIS </w:t>
            </w:r>
            <w:r w:rsidR="002A307E">
              <w:rPr>
                <w:rFonts w:asciiTheme="minorHAnsi" w:hAnsiTheme="minorHAnsi" w:cstheme="minorHAnsi"/>
                <w:i/>
                <w:sz w:val="18"/>
                <w:szCs w:val="18"/>
              </w:rPr>
              <w:t>Base Stations really support</w:t>
            </w:r>
            <w:r w:rsidRPr="00D61E22">
              <w:rPr>
                <w:rFonts w:asciiTheme="minorHAnsi" w:hAnsiTheme="minorHAnsi" w:cstheme="minorHAnsi"/>
                <w:i/>
                <w:sz w:val="18"/>
                <w:szCs w:val="18"/>
              </w:rPr>
              <w:t xml:space="preserve"> Message Type 17</w:t>
            </w:r>
          </w:p>
        </w:tc>
      </w:tr>
      <w:tr w:rsidR="00160CE1" w:rsidRPr="00953A3B" w14:paraId="71AA0867" w14:textId="77777777" w:rsidTr="00160CE1">
        <w:trPr>
          <w:trHeight w:val="501"/>
          <w:jc w:val="center"/>
        </w:trPr>
        <w:tc>
          <w:tcPr>
            <w:tcW w:w="924" w:type="dxa"/>
            <w:tcBorders>
              <w:top w:val="single" w:sz="2" w:space="0" w:color="191C1F"/>
              <w:left w:val="single" w:sz="2" w:space="0" w:color="191C1F"/>
              <w:bottom w:val="single" w:sz="18" w:space="0" w:color="005A8E"/>
              <w:right w:val="single" w:sz="2" w:space="0" w:color="191C1F"/>
            </w:tcBorders>
            <w:vAlign w:val="center"/>
          </w:tcPr>
          <w:p w14:paraId="57608AC6" w14:textId="24BCF483" w:rsidR="00160CE1" w:rsidRPr="00D61E22" w:rsidRDefault="00160CE1">
            <w:pPr>
              <w:jc w:val="center"/>
              <w:rPr>
                <w:rFonts w:asciiTheme="minorHAnsi" w:hAnsiTheme="minorHAnsi" w:cstheme="minorHAnsi"/>
                <w:i/>
                <w:sz w:val="18"/>
                <w:szCs w:val="18"/>
              </w:rPr>
            </w:pPr>
            <w:r>
              <w:rPr>
                <w:rFonts w:asciiTheme="minorHAnsi" w:hAnsiTheme="minorHAnsi" w:cstheme="minorHAnsi"/>
                <w:i/>
                <w:sz w:val="18"/>
                <w:szCs w:val="18"/>
              </w:rPr>
              <w:lastRenderedPageBreak/>
              <w:t>6</w:t>
            </w:r>
          </w:p>
        </w:tc>
        <w:tc>
          <w:tcPr>
            <w:tcW w:w="1134"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0ACD5C42" w14:textId="19CFE3BD" w:rsidR="00160CE1" w:rsidRPr="00D61E22" w:rsidRDefault="00160CE1" w:rsidP="007D058C">
            <w:pPr>
              <w:jc w:val="center"/>
              <w:rPr>
                <w:rFonts w:asciiTheme="minorHAnsi" w:hAnsiTheme="minorHAnsi" w:cstheme="minorHAnsi"/>
                <w:i/>
                <w:sz w:val="18"/>
                <w:szCs w:val="18"/>
              </w:rPr>
            </w:pPr>
            <w:r w:rsidRPr="00D61E22">
              <w:rPr>
                <w:rFonts w:asciiTheme="minorHAnsi" w:hAnsiTheme="minorHAnsi" w:cstheme="minorHAnsi"/>
                <w:i/>
                <w:sz w:val="18"/>
                <w:szCs w:val="18"/>
              </w:rPr>
              <w:t>AIS</w:t>
            </w:r>
          </w:p>
        </w:tc>
        <w:tc>
          <w:tcPr>
            <w:tcW w:w="6169"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035901CF" w14:textId="04A954B9" w:rsidR="00160CE1" w:rsidRPr="00D61E22" w:rsidRDefault="00160CE1" w:rsidP="007D058C">
            <w:pPr>
              <w:rPr>
                <w:rFonts w:asciiTheme="minorHAnsi" w:hAnsiTheme="minorHAnsi" w:cstheme="minorHAnsi"/>
                <w:i/>
                <w:sz w:val="18"/>
                <w:szCs w:val="18"/>
              </w:rPr>
            </w:pPr>
            <w:r w:rsidRPr="00D61E22">
              <w:rPr>
                <w:rFonts w:asciiTheme="minorHAnsi" w:hAnsiTheme="minorHAnsi" w:cstheme="minorHAnsi"/>
                <w:i/>
                <w:sz w:val="18"/>
                <w:szCs w:val="18"/>
              </w:rPr>
              <w:t>Ensure correct definition of configuration parameters related to Message Type 17 broadcast.</w:t>
            </w:r>
          </w:p>
        </w:tc>
      </w:tr>
    </w:tbl>
    <w:p w14:paraId="1A3FE48D" w14:textId="654208CF" w:rsidR="00F12E00" w:rsidRDefault="007865BE" w:rsidP="007865BE">
      <w:pPr>
        <w:pStyle w:val="Caption"/>
      </w:pPr>
      <w:bookmarkStart w:id="2" w:name="_Ref535910896"/>
      <w:bookmarkStart w:id="3" w:name="_Ref535910889"/>
      <w:r w:rsidRPr="003C4338">
        <w:t xml:space="preserve">Table </w:t>
      </w:r>
      <w:r w:rsidR="00B5051E">
        <w:rPr>
          <w:noProof/>
        </w:rPr>
        <w:fldChar w:fldCharType="begin"/>
      </w:r>
      <w:r w:rsidR="00B5051E">
        <w:rPr>
          <w:noProof/>
        </w:rPr>
        <w:instrText xml:space="preserve"> SEQ Table \* ARABIC </w:instrText>
      </w:r>
      <w:r w:rsidR="00B5051E">
        <w:rPr>
          <w:noProof/>
        </w:rPr>
        <w:fldChar w:fldCharType="separate"/>
      </w:r>
      <w:r w:rsidR="007D058C">
        <w:rPr>
          <w:noProof/>
        </w:rPr>
        <w:t>3</w:t>
      </w:r>
      <w:r w:rsidR="00B5051E">
        <w:rPr>
          <w:noProof/>
        </w:rPr>
        <w:fldChar w:fldCharType="end"/>
      </w:r>
      <w:bookmarkEnd w:id="2"/>
      <w:r w:rsidRPr="003C4338">
        <w:t xml:space="preserve">: </w:t>
      </w:r>
      <w:r w:rsidR="00C3304E">
        <w:t>Project Recommendations for NCA consideration</w:t>
      </w:r>
      <w:bookmarkEnd w:id="3"/>
      <w:r w:rsidR="00C3304E" w:rsidRPr="003C4338" w:rsidDel="00C3304E">
        <w:t xml:space="preserve"> </w:t>
      </w:r>
    </w:p>
    <w:p w14:paraId="0A4FAEF2" w14:textId="1280CDAD" w:rsidR="00C3304E" w:rsidRDefault="007D058C" w:rsidP="00D61E22">
      <w:pPr>
        <w:pStyle w:val="BodyText"/>
        <w:keepNext/>
        <w:rPr>
          <w:lang w:eastAsia="en-US"/>
        </w:rPr>
      </w:pPr>
      <w:r>
        <w:t xml:space="preserve">On the other hand, and based on the issues faced during the pilot projects setup and the performance campaign, the following table contains </w:t>
      </w:r>
      <w:r w:rsidR="00D61E22">
        <w:t>a set of recommendations/topics to be considered for discussion at IALA level.</w:t>
      </w:r>
    </w:p>
    <w:tbl>
      <w:tblPr>
        <w:tblW w:w="8079" w:type="dxa"/>
        <w:jc w:val="center"/>
        <w:tblLayout w:type="fixed"/>
        <w:tblCellMar>
          <w:left w:w="0" w:type="dxa"/>
          <w:right w:w="0" w:type="dxa"/>
        </w:tblCellMar>
        <w:tblLook w:val="04A0" w:firstRow="1" w:lastRow="0" w:firstColumn="1" w:lastColumn="0" w:noHBand="0" w:noVBand="1"/>
      </w:tblPr>
      <w:tblGrid>
        <w:gridCol w:w="1133"/>
        <w:gridCol w:w="850"/>
        <w:gridCol w:w="6096"/>
      </w:tblGrid>
      <w:tr w:rsidR="00160CE1" w:rsidRPr="00953A3B" w14:paraId="4DC60342" w14:textId="77777777" w:rsidTr="00160CE1">
        <w:trPr>
          <w:trHeight w:val="675"/>
          <w:tblHeader/>
          <w:jc w:val="center"/>
        </w:trPr>
        <w:tc>
          <w:tcPr>
            <w:tcW w:w="1133" w:type="dxa"/>
            <w:tcBorders>
              <w:top w:val="single" w:sz="2" w:space="0" w:color="191C1F"/>
              <w:left w:val="single" w:sz="2" w:space="0" w:color="191C1F"/>
              <w:bottom w:val="single" w:sz="2" w:space="0" w:color="191C1F"/>
              <w:right w:val="single" w:sz="2" w:space="0" w:color="191C1F"/>
            </w:tcBorders>
            <w:shd w:val="clear" w:color="auto" w:fill="1B4973"/>
            <w:vAlign w:val="center"/>
          </w:tcPr>
          <w:p w14:paraId="7D1C97F0" w14:textId="77777777" w:rsidR="00160CE1" w:rsidRPr="0009103F" w:rsidRDefault="00160CE1" w:rsidP="007D058C">
            <w:pPr>
              <w:keepNext/>
              <w:jc w:val="center"/>
              <w:rPr>
                <w:rFonts w:asciiTheme="minorHAnsi" w:hAnsiTheme="minorHAnsi" w:cstheme="minorHAnsi"/>
                <w:b/>
                <w:bCs/>
                <w:i/>
                <w:color w:val="FFFFFF"/>
                <w:sz w:val="18"/>
                <w:szCs w:val="18"/>
              </w:rPr>
            </w:pPr>
            <w:r w:rsidRPr="0009103F">
              <w:rPr>
                <w:rFonts w:asciiTheme="minorHAnsi" w:hAnsiTheme="minorHAnsi" w:cstheme="minorHAnsi"/>
                <w:b/>
                <w:bCs/>
                <w:i/>
                <w:color w:val="FFFFFF"/>
                <w:sz w:val="18"/>
                <w:szCs w:val="18"/>
              </w:rPr>
              <w:t>ID</w:t>
            </w:r>
          </w:p>
        </w:tc>
        <w:tc>
          <w:tcPr>
            <w:tcW w:w="850" w:type="dxa"/>
            <w:tcBorders>
              <w:top w:val="single" w:sz="2" w:space="0" w:color="191C1F"/>
              <w:left w:val="single" w:sz="2" w:space="0" w:color="191C1F"/>
              <w:bottom w:val="single" w:sz="2" w:space="0" w:color="191C1F"/>
              <w:right w:val="single" w:sz="2" w:space="0" w:color="191C1F"/>
            </w:tcBorders>
            <w:shd w:val="clear" w:color="auto" w:fill="1B4973"/>
            <w:vAlign w:val="center"/>
          </w:tcPr>
          <w:p w14:paraId="341C7E04" w14:textId="77777777" w:rsidR="00160CE1" w:rsidRDefault="00160CE1" w:rsidP="00160CE1">
            <w:pPr>
              <w:keepNext/>
              <w:jc w:val="center"/>
              <w:rPr>
                <w:rFonts w:asciiTheme="minorHAnsi" w:hAnsiTheme="minorHAnsi" w:cstheme="minorHAnsi"/>
                <w:b/>
                <w:bCs/>
                <w:i/>
                <w:color w:val="FFFFFF"/>
                <w:sz w:val="18"/>
                <w:szCs w:val="18"/>
              </w:rPr>
            </w:pPr>
            <w:r w:rsidRPr="00D61E22">
              <w:rPr>
                <w:rFonts w:asciiTheme="minorHAnsi" w:hAnsiTheme="minorHAnsi" w:cstheme="minorHAnsi"/>
                <w:b/>
                <w:bCs/>
                <w:i/>
                <w:color w:val="FFFFFF"/>
                <w:sz w:val="18"/>
                <w:szCs w:val="18"/>
              </w:rPr>
              <w:t>System</w:t>
            </w:r>
          </w:p>
          <w:p w14:paraId="4CFDD4B6" w14:textId="441B2E34" w:rsidR="00160CE1" w:rsidRPr="0009103F" w:rsidRDefault="00160CE1" w:rsidP="00160CE1">
            <w:pPr>
              <w:keepNext/>
              <w:jc w:val="center"/>
              <w:rPr>
                <w:rFonts w:asciiTheme="minorHAnsi" w:hAnsiTheme="minorHAnsi" w:cstheme="minorHAnsi"/>
                <w:b/>
                <w:bCs/>
                <w:i/>
                <w:color w:val="FFFFFF"/>
                <w:sz w:val="18"/>
                <w:szCs w:val="18"/>
              </w:rPr>
            </w:pPr>
            <w:r>
              <w:rPr>
                <w:rFonts w:asciiTheme="minorHAnsi" w:hAnsiTheme="minorHAnsi" w:cstheme="minorHAnsi"/>
                <w:b/>
                <w:bCs/>
                <w:i/>
                <w:color w:val="FFFFFF"/>
                <w:sz w:val="18"/>
                <w:szCs w:val="18"/>
              </w:rPr>
              <w:t>(AIS/IALA)</w:t>
            </w:r>
          </w:p>
        </w:tc>
        <w:tc>
          <w:tcPr>
            <w:tcW w:w="6096" w:type="dxa"/>
            <w:tcBorders>
              <w:top w:val="single" w:sz="2" w:space="0" w:color="191C1F"/>
              <w:left w:val="single" w:sz="2" w:space="0" w:color="191C1F"/>
              <w:bottom w:val="single" w:sz="2" w:space="0" w:color="191C1F"/>
              <w:right w:val="single" w:sz="2" w:space="0" w:color="191C1F"/>
            </w:tcBorders>
            <w:shd w:val="clear" w:color="auto" w:fill="1B4973"/>
            <w:tcMar>
              <w:top w:w="15" w:type="dxa"/>
              <w:left w:w="108" w:type="dxa"/>
              <w:bottom w:w="0" w:type="dxa"/>
              <w:right w:w="108" w:type="dxa"/>
            </w:tcMar>
            <w:vAlign w:val="center"/>
            <w:hideMark/>
          </w:tcPr>
          <w:p w14:paraId="40D63424" w14:textId="77777777" w:rsidR="00160CE1" w:rsidRPr="0009103F" w:rsidRDefault="00160CE1" w:rsidP="007D058C">
            <w:pPr>
              <w:keepNext/>
              <w:jc w:val="center"/>
              <w:rPr>
                <w:rFonts w:asciiTheme="minorHAnsi" w:hAnsiTheme="minorHAnsi" w:cstheme="minorHAnsi"/>
                <w:i/>
                <w:color w:val="FFFFFF"/>
                <w:sz w:val="18"/>
                <w:szCs w:val="18"/>
              </w:rPr>
            </w:pPr>
            <w:r w:rsidRPr="0009103F">
              <w:rPr>
                <w:rFonts w:asciiTheme="minorHAnsi" w:hAnsiTheme="minorHAnsi" w:cstheme="minorHAnsi"/>
                <w:b/>
                <w:bCs/>
                <w:i/>
                <w:color w:val="FFFFFF"/>
                <w:sz w:val="18"/>
                <w:szCs w:val="18"/>
              </w:rPr>
              <w:t>Recommendation</w:t>
            </w:r>
          </w:p>
        </w:tc>
      </w:tr>
      <w:tr w:rsidR="00160CE1" w:rsidRPr="00953A3B" w14:paraId="22CB49B3" w14:textId="77777777" w:rsidTr="00160CE1">
        <w:trPr>
          <w:trHeight w:val="493"/>
          <w:jc w:val="center"/>
        </w:trPr>
        <w:tc>
          <w:tcPr>
            <w:tcW w:w="1133" w:type="dxa"/>
            <w:tcBorders>
              <w:top w:val="single" w:sz="2" w:space="0" w:color="191C1F"/>
              <w:left w:val="single" w:sz="2" w:space="0" w:color="191C1F"/>
              <w:bottom w:val="single" w:sz="18" w:space="0" w:color="005A8E"/>
              <w:right w:val="single" w:sz="2" w:space="0" w:color="191C1F"/>
            </w:tcBorders>
            <w:vAlign w:val="center"/>
          </w:tcPr>
          <w:p w14:paraId="5AC49996" w14:textId="77777777" w:rsidR="00160CE1" w:rsidRPr="0009103F" w:rsidRDefault="00160CE1" w:rsidP="007D058C">
            <w:pPr>
              <w:jc w:val="center"/>
              <w:rPr>
                <w:rFonts w:asciiTheme="minorHAnsi" w:hAnsiTheme="minorHAnsi" w:cstheme="minorHAnsi"/>
                <w:i/>
                <w:sz w:val="18"/>
                <w:szCs w:val="18"/>
              </w:rPr>
            </w:pPr>
            <w:r>
              <w:rPr>
                <w:rFonts w:asciiTheme="minorHAnsi" w:hAnsiTheme="minorHAnsi" w:cstheme="minorHAnsi"/>
                <w:i/>
                <w:sz w:val="18"/>
                <w:szCs w:val="18"/>
              </w:rPr>
              <w:t>6</w:t>
            </w:r>
          </w:p>
        </w:tc>
        <w:tc>
          <w:tcPr>
            <w:tcW w:w="850"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4344F0C0" w14:textId="77777777" w:rsidR="00160CE1" w:rsidRPr="0009103F" w:rsidRDefault="00160CE1" w:rsidP="007D058C">
            <w:pPr>
              <w:jc w:val="center"/>
              <w:rPr>
                <w:rFonts w:asciiTheme="minorHAnsi" w:hAnsiTheme="minorHAnsi" w:cstheme="minorHAnsi"/>
                <w:i/>
                <w:sz w:val="18"/>
                <w:szCs w:val="18"/>
              </w:rPr>
            </w:pPr>
            <w:r w:rsidRPr="0009103F">
              <w:rPr>
                <w:rFonts w:asciiTheme="minorHAnsi" w:hAnsiTheme="minorHAnsi" w:cstheme="minorHAnsi"/>
                <w:i/>
                <w:sz w:val="18"/>
                <w:szCs w:val="18"/>
              </w:rPr>
              <w:t>AIS</w:t>
            </w:r>
          </w:p>
        </w:tc>
        <w:tc>
          <w:tcPr>
            <w:tcW w:w="6096"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46D4C6BF" w14:textId="0EB02365" w:rsidR="00160CE1" w:rsidRPr="0009103F" w:rsidRDefault="00A40DCB" w:rsidP="007D058C">
            <w:pPr>
              <w:rPr>
                <w:rFonts w:asciiTheme="minorHAnsi" w:hAnsiTheme="minorHAnsi" w:cstheme="minorHAnsi"/>
                <w:i/>
                <w:sz w:val="18"/>
                <w:szCs w:val="18"/>
              </w:rPr>
            </w:pPr>
            <w:r>
              <w:rPr>
                <w:rFonts w:asciiTheme="minorHAnsi" w:hAnsiTheme="minorHAnsi" w:cstheme="minorHAnsi"/>
                <w:i/>
                <w:sz w:val="18"/>
                <w:szCs w:val="18"/>
              </w:rPr>
              <w:t>Define guidelines to e</w:t>
            </w:r>
            <w:r w:rsidR="00160CE1" w:rsidRPr="0009103F">
              <w:rPr>
                <w:rFonts w:asciiTheme="minorHAnsi" w:hAnsiTheme="minorHAnsi" w:cstheme="minorHAnsi"/>
                <w:i/>
                <w:sz w:val="18"/>
                <w:szCs w:val="18"/>
              </w:rPr>
              <w:t>nsure correct definition of configuration parameters related to Message Type 17 broadcast.</w:t>
            </w:r>
          </w:p>
        </w:tc>
      </w:tr>
      <w:tr w:rsidR="00160CE1" w:rsidRPr="00953A3B" w14:paraId="521729AA" w14:textId="77777777" w:rsidTr="00160CE1">
        <w:trPr>
          <w:trHeight w:val="493"/>
          <w:jc w:val="center"/>
        </w:trPr>
        <w:tc>
          <w:tcPr>
            <w:tcW w:w="1133" w:type="dxa"/>
            <w:tcBorders>
              <w:top w:val="single" w:sz="2" w:space="0" w:color="191C1F"/>
              <w:left w:val="single" w:sz="2" w:space="0" w:color="191C1F"/>
              <w:bottom w:val="single" w:sz="18" w:space="0" w:color="005A8E"/>
              <w:right w:val="single" w:sz="2" w:space="0" w:color="191C1F"/>
            </w:tcBorders>
            <w:vAlign w:val="center"/>
          </w:tcPr>
          <w:p w14:paraId="6BD7244D" w14:textId="77777777" w:rsidR="00160CE1" w:rsidRPr="0009103F" w:rsidRDefault="00160CE1" w:rsidP="007D058C">
            <w:pPr>
              <w:jc w:val="center"/>
              <w:rPr>
                <w:rFonts w:asciiTheme="minorHAnsi" w:hAnsiTheme="minorHAnsi" w:cstheme="minorHAnsi"/>
                <w:i/>
                <w:sz w:val="18"/>
                <w:szCs w:val="18"/>
              </w:rPr>
            </w:pPr>
            <w:r>
              <w:rPr>
                <w:rFonts w:asciiTheme="minorHAnsi" w:hAnsiTheme="minorHAnsi" w:cstheme="minorHAnsi"/>
                <w:i/>
                <w:sz w:val="18"/>
                <w:szCs w:val="18"/>
              </w:rPr>
              <w:t>7</w:t>
            </w:r>
          </w:p>
        </w:tc>
        <w:tc>
          <w:tcPr>
            <w:tcW w:w="850" w:type="dxa"/>
            <w:tcBorders>
              <w:top w:val="single" w:sz="2" w:space="0" w:color="191C1F"/>
              <w:left w:val="single" w:sz="2" w:space="0" w:color="191C1F"/>
              <w:bottom w:val="single" w:sz="18" w:space="0" w:color="005A8E"/>
              <w:right w:val="single" w:sz="2" w:space="0" w:color="191C1F"/>
            </w:tcBorders>
            <w:vAlign w:val="center"/>
          </w:tcPr>
          <w:p w14:paraId="37989ABB" w14:textId="77777777" w:rsidR="00160CE1" w:rsidRPr="0009103F" w:rsidRDefault="00160CE1" w:rsidP="007D058C">
            <w:pPr>
              <w:jc w:val="center"/>
              <w:rPr>
                <w:rFonts w:asciiTheme="minorHAnsi" w:hAnsiTheme="minorHAnsi" w:cstheme="minorHAnsi"/>
                <w:i/>
                <w:sz w:val="18"/>
                <w:szCs w:val="18"/>
              </w:rPr>
            </w:pPr>
            <w:r w:rsidRPr="0009103F">
              <w:rPr>
                <w:rFonts w:asciiTheme="minorHAnsi" w:hAnsiTheme="minorHAnsi" w:cstheme="minorHAnsi"/>
                <w:i/>
                <w:sz w:val="18"/>
                <w:szCs w:val="18"/>
              </w:rPr>
              <w:t>VDES</w:t>
            </w:r>
          </w:p>
        </w:tc>
        <w:tc>
          <w:tcPr>
            <w:tcW w:w="6096"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7474BC0A" w14:textId="77777777" w:rsidR="00160CE1" w:rsidRPr="0009103F" w:rsidRDefault="00160CE1" w:rsidP="007D058C">
            <w:pPr>
              <w:rPr>
                <w:rFonts w:asciiTheme="minorHAnsi" w:hAnsiTheme="minorHAnsi" w:cstheme="minorHAnsi"/>
                <w:i/>
                <w:sz w:val="18"/>
                <w:szCs w:val="18"/>
              </w:rPr>
            </w:pPr>
            <w:r w:rsidRPr="0009103F">
              <w:rPr>
                <w:rFonts w:asciiTheme="minorHAnsi" w:hAnsiTheme="minorHAnsi" w:cstheme="minorHAnsi"/>
                <w:i/>
                <w:sz w:val="18"/>
                <w:szCs w:val="18"/>
              </w:rPr>
              <w:t>Continue investigation of transmission of EGNOS-based corrections through VDES</w:t>
            </w:r>
          </w:p>
        </w:tc>
      </w:tr>
      <w:tr w:rsidR="00160CE1" w:rsidRPr="00953A3B" w14:paraId="4787364D" w14:textId="77777777" w:rsidTr="00160CE1">
        <w:trPr>
          <w:trHeight w:val="493"/>
          <w:jc w:val="center"/>
        </w:trPr>
        <w:tc>
          <w:tcPr>
            <w:tcW w:w="1133" w:type="dxa"/>
            <w:tcBorders>
              <w:top w:val="single" w:sz="2" w:space="0" w:color="191C1F"/>
              <w:left w:val="single" w:sz="2" w:space="0" w:color="191C1F"/>
              <w:bottom w:val="single" w:sz="18" w:space="0" w:color="005A8E"/>
              <w:right w:val="single" w:sz="2" w:space="0" w:color="191C1F"/>
            </w:tcBorders>
            <w:vAlign w:val="center"/>
          </w:tcPr>
          <w:p w14:paraId="5DA6427C" w14:textId="77777777" w:rsidR="00160CE1" w:rsidRPr="0009103F" w:rsidRDefault="00160CE1" w:rsidP="007D058C">
            <w:pPr>
              <w:jc w:val="center"/>
              <w:rPr>
                <w:rFonts w:asciiTheme="minorHAnsi" w:hAnsiTheme="minorHAnsi" w:cstheme="minorHAnsi"/>
                <w:i/>
                <w:sz w:val="18"/>
                <w:szCs w:val="18"/>
              </w:rPr>
            </w:pPr>
            <w:r>
              <w:rPr>
                <w:rFonts w:asciiTheme="minorHAnsi" w:hAnsiTheme="minorHAnsi" w:cstheme="minorHAnsi"/>
                <w:i/>
                <w:sz w:val="18"/>
                <w:szCs w:val="18"/>
              </w:rPr>
              <w:t>8</w:t>
            </w:r>
          </w:p>
        </w:tc>
        <w:tc>
          <w:tcPr>
            <w:tcW w:w="850"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4E51862F" w14:textId="77777777" w:rsidR="00160CE1" w:rsidRPr="0009103F" w:rsidRDefault="00160CE1" w:rsidP="007D058C">
            <w:pPr>
              <w:jc w:val="center"/>
              <w:rPr>
                <w:rFonts w:asciiTheme="minorHAnsi" w:hAnsiTheme="minorHAnsi" w:cstheme="minorHAnsi"/>
                <w:i/>
                <w:sz w:val="18"/>
                <w:szCs w:val="18"/>
              </w:rPr>
            </w:pPr>
            <w:r w:rsidRPr="0009103F">
              <w:rPr>
                <w:rFonts w:asciiTheme="minorHAnsi" w:hAnsiTheme="minorHAnsi" w:cstheme="minorHAnsi"/>
                <w:i/>
                <w:sz w:val="18"/>
                <w:szCs w:val="18"/>
              </w:rPr>
              <w:t>AIS</w:t>
            </w:r>
          </w:p>
        </w:tc>
        <w:tc>
          <w:tcPr>
            <w:tcW w:w="6096"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28958B92" w14:textId="77777777" w:rsidR="00160CE1" w:rsidRPr="0009103F" w:rsidRDefault="00160CE1" w:rsidP="007D058C">
            <w:pPr>
              <w:rPr>
                <w:rFonts w:asciiTheme="minorHAnsi" w:hAnsiTheme="minorHAnsi" w:cstheme="minorHAnsi"/>
                <w:i/>
                <w:sz w:val="18"/>
                <w:szCs w:val="18"/>
              </w:rPr>
            </w:pPr>
            <w:r w:rsidRPr="0009103F">
              <w:rPr>
                <w:rFonts w:asciiTheme="minorHAnsi" w:hAnsiTheme="minorHAnsi" w:cstheme="minorHAnsi"/>
                <w:i/>
                <w:sz w:val="18"/>
                <w:szCs w:val="18"/>
              </w:rPr>
              <w:t>Clarify how transponders should process corrections coming from multiple sources</w:t>
            </w:r>
          </w:p>
        </w:tc>
      </w:tr>
      <w:tr w:rsidR="00160CE1" w:rsidRPr="00953A3B" w14:paraId="2DCBBA58" w14:textId="77777777" w:rsidTr="00160CE1">
        <w:trPr>
          <w:trHeight w:val="493"/>
          <w:jc w:val="center"/>
        </w:trPr>
        <w:tc>
          <w:tcPr>
            <w:tcW w:w="1133" w:type="dxa"/>
            <w:tcBorders>
              <w:top w:val="single" w:sz="2" w:space="0" w:color="191C1F"/>
              <w:left w:val="single" w:sz="2" w:space="0" w:color="191C1F"/>
              <w:bottom w:val="single" w:sz="18" w:space="0" w:color="005A8E"/>
              <w:right w:val="single" w:sz="2" w:space="0" w:color="191C1F"/>
            </w:tcBorders>
            <w:vAlign w:val="center"/>
          </w:tcPr>
          <w:p w14:paraId="293AF394" w14:textId="77777777" w:rsidR="00160CE1" w:rsidRPr="0009103F" w:rsidRDefault="00160CE1" w:rsidP="007D058C">
            <w:pPr>
              <w:jc w:val="center"/>
              <w:rPr>
                <w:rFonts w:asciiTheme="minorHAnsi" w:hAnsiTheme="minorHAnsi" w:cstheme="minorHAnsi"/>
                <w:i/>
                <w:sz w:val="18"/>
                <w:szCs w:val="18"/>
              </w:rPr>
            </w:pPr>
            <w:r>
              <w:rPr>
                <w:rFonts w:asciiTheme="minorHAnsi" w:hAnsiTheme="minorHAnsi" w:cstheme="minorHAnsi"/>
                <w:i/>
                <w:sz w:val="18"/>
                <w:szCs w:val="18"/>
              </w:rPr>
              <w:t>9</w:t>
            </w:r>
          </w:p>
        </w:tc>
        <w:tc>
          <w:tcPr>
            <w:tcW w:w="850" w:type="dxa"/>
            <w:tcBorders>
              <w:top w:val="single" w:sz="2" w:space="0" w:color="191C1F"/>
              <w:left w:val="single" w:sz="2" w:space="0" w:color="191C1F"/>
              <w:bottom w:val="single" w:sz="18" w:space="0" w:color="005A8E"/>
              <w:right w:val="single" w:sz="2" w:space="0" w:color="191C1F"/>
            </w:tcBorders>
            <w:shd w:val="clear" w:color="auto" w:fill="auto"/>
            <w:vAlign w:val="center"/>
          </w:tcPr>
          <w:p w14:paraId="559F32CE" w14:textId="77777777" w:rsidR="00160CE1" w:rsidRPr="0009103F" w:rsidRDefault="00160CE1" w:rsidP="007D058C">
            <w:pPr>
              <w:jc w:val="center"/>
              <w:rPr>
                <w:rFonts w:asciiTheme="minorHAnsi" w:hAnsiTheme="minorHAnsi" w:cstheme="minorHAnsi"/>
                <w:i/>
                <w:sz w:val="18"/>
                <w:szCs w:val="18"/>
              </w:rPr>
            </w:pPr>
            <w:r w:rsidRPr="0009103F">
              <w:rPr>
                <w:rFonts w:asciiTheme="minorHAnsi" w:hAnsiTheme="minorHAnsi" w:cstheme="minorHAnsi"/>
                <w:i/>
                <w:sz w:val="18"/>
                <w:szCs w:val="18"/>
              </w:rPr>
              <w:t>AIS</w:t>
            </w:r>
          </w:p>
        </w:tc>
        <w:tc>
          <w:tcPr>
            <w:tcW w:w="6096" w:type="dxa"/>
            <w:tcBorders>
              <w:top w:val="single" w:sz="2" w:space="0" w:color="191C1F"/>
              <w:left w:val="single" w:sz="2" w:space="0" w:color="191C1F"/>
              <w:bottom w:val="single" w:sz="18" w:space="0" w:color="005A8E"/>
              <w:right w:val="single" w:sz="2" w:space="0" w:color="191C1F"/>
            </w:tcBorders>
            <w:shd w:val="clear" w:color="auto" w:fill="auto"/>
            <w:tcMar>
              <w:top w:w="15" w:type="dxa"/>
              <w:left w:w="108" w:type="dxa"/>
              <w:bottom w:w="0" w:type="dxa"/>
              <w:right w:w="108" w:type="dxa"/>
            </w:tcMar>
            <w:vAlign w:val="center"/>
          </w:tcPr>
          <w:p w14:paraId="576CF1F6" w14:textId="77777777" w:rsidR="00160CE1" w:rsidRPr="0009103F" w:rsidRDefault="00160CE1" w:rsidP="007D058C">
            <w:pPr>
              <w:rPr>
                <w:rFonts w:asciiTheme="minorHAnsi" w:hAnsiTheme="minorHAnsi" w:cstheme="minorHAnsi"/>
                <w:i/>
                <w:sz w:val="18"/>
                <w:szCs w:val="18"/>
              </w:rPr>
            </w:pPr>
            <w:r w:rsidRPr="0009103F">
              <w:rPr>
                <w:rFonts w:asciiTheme="minorHAnsi" w:hAnsiTheme="minorHAnsi" w:cstheme="minorHAnsi"/>
                <w:i/>
                <w:sz w:val="18"/>
                <w:szCs w:val="18"/>
              </w:rPr>
              <w:t>Solve switching problems between stations that transponders face at the cross-borders</w:t>
            </w:r>
          </w:p>
        </w:tc>
      </w:tr>
    </w:tbl>
    <w:p w14:paraId="704FB6EE" w14:textId="5231B4CD" w:rsidR="00C3304E" w:rsidRDefault="00C3304E" w:rsidP="00C3304E">
      <w:pPr>
        <w:pStyle w:val="Caption"/>
      </w:pPr>
      <w:r w:rsidRPr="003C4338">
        <w:t xml:space="preserve">Table </w:t>
      </w:r>
      <w:r w:rsidR="00B5051E">
        <w:rPr>
          <w:noProof/>
        </w:rPr>
        <w:fldChar w:fldCharType="begin"/>
      </w:r>
      <w:r w:rsidR="00B5051E">
        <w:rPr>
          <w:noProof/>
        </w:rPr>
        <w:instrText xml:space="preserve"> SEQ Table \* ARABIC </w:instrText>
      </w:r>
      <w:r w:rsidR="00B5051E">
        <w:rPr>
          <w:noProof/>
        </w:rPr>
        <w:fldChar w:fldCharType="separate"/>
      </w:r>
      <w:r w:rsidR="007D058C">
        <w:rPr>
          <w:noProof/>
        </w:rPr>
        <w:t>4</w:t>
      </w:r>
      <w:r w:rsidR="00B5051E">
        <w:rPr>
          <w:noProof/>
        </w:rPr>
        <w:fldChar w:fldCharType="end"/>
      </w:r>
      <w:r w:rsidRPr="003C4338">
        <w:t xml:space="preserve">: </w:t>
      </w:r>
      <w:r>
        <w:t>Project Recommendations for IALA consideration</w:t>
      </w:r>
    </w:p>
    <w:p w14:paraId="1665199A" w14:textId="3433FBEB" w:rsidR="00C3304E" w:rsidRPr="00D61E22" w:rsidRDefault="00C3304E" w:rsidP="00D61E22">
      <w:pPr>
        <w:pStyle w:val="BodyText"/>
        <w:keepNext/>
        <w:rPr>
          <w:lang w:eastAsia="en-US"/>
        </w:rPr>
      </w:pPr>
      <w:r w:rsidRPr="003C4338">
        <w:t xml:space="preserve">Details about these recommendations are provided in </w:t>
      </w:r>
      <w:r>
        <w:fldChar w:fldCharType="begin"/>
      </w:r>
      <w:r>
        <w:instrText xml:space="preserve"> REF _Ref535493642 \r \h  \* MERGEFORMAT </w:instrText>
      </w:r>
      <w:r>
        <w:fldChar w:fldCharType="separate"/>
      </w:r>
      <w:r w:rsidR="007D058C">
        <w:t>ANNEX 1</w:t>
      </w:r>
      <w:r>
        <w:fldChar w:fldCharType="end"/>
      </w:r>
    </w:p>
    <w:p w14:paraId="3D358C08" w14:textId="77777777" w:rsidR="00180DDA" w:rsidRPr="007A395D" w:rsidRDefault="00180DDA" w:rsidP="00605E43">
      <w:pPr>
        <w:pStyle w:val="Heading1"/>
      </w:pPr>
      <w:r w:rsidRPr="007A395D">
        <w:t>References</w:t>
      </w:r>
    </w:p>
    <w:p w14:paraId="4A49F0B0" w14:textId="037BB776" w:rsidR="00C779D8" w:rsidRPr="00D1722D" w:rsidRDefault="00C779D8" w:rsidP="00C779D8">
      <w:pPr>
        <w:pStyle w:val="References"/>
      </w:pPr>
      <w:bookmarkStart w:id="4" w:name="_Ref535491306"/>
      <w:r w:rsidRPr="00D1722D">
        <w:t>IALA</w:t>
      </w:r>
      <w:r w:rsidR="006F69CE" w:rsidRPr="00D1722D">
        <w:t xml:space="preserve"> GUIDELINE</w:t>
      </w:r>
      <w:r w:rsidRPr="00D1722D">
        <w:t xml:space="preserve"> G1129 THE RETRANSMISSION OF SBAS CORRECTIONS USING MF-RADIO BEACON AND AIS</w:t>
      </w:r>
      <w:bookmarkEnd w:id="4"/>
    </w:p>
    <w:p w14:paraId="11A36B5A" w14:textId="77777777" w:rsidR="00C779D8" w:rsidRDefault="00C779D8" w:rsidP="00C779D8">
      <w:pPr>
        <w:pStyle w:val="References"/>
        <w:rPr>
          <w:lang w:eastAsia="de-DE"/>
        </w:rPr>
      </w:pPr>
      <w:bookmarkStart w:id="5" w:name="_Ref535491473"/>
      <w:r w:rsidRPr="00C779D8">
        <w:t>Specific Contract GSA/OP/07/13/SC24 ‘Support to Maritime Service Providers for the transmission of EGNOS corrections via IALA beacons and AIS/VDES stations’</w:t>
      </w:r>
      <w:bookmarkEnd w:id="5"/>
    </w:p>
    <w:p w14:paraId="455A2640" w14:textId="77777777" w:rsidR="00A446C9" w:rsidRPr="007A395D" w:rsidRDefault="00A446C9" w:rsidP="00605E43">
      <w:pPr>
        <w:pStyle w:val="Heading1"/>
      </w:pPr>
      <w:r w:rsidRPr="007A395D">
        <w:t>Action requested of the Committee</w:t>
      </w:r>
    </w:p>
    <w:p w14:paraId="2E7A34D3" w14:textId="77777777" w:rsidR="00F25BF4" w:rsidRPr="007A395D" w:rsidRDefault="00F25BF4" w:rsidP="00F36489">
      <w:pPr>
        <w:pStyle w:val="BodyText"/>
      </w:pPr>
      <w:r w:rsidRPr="007A395D">
        <w:t xml:space="preserve">The Committee is requested to: </w:t>
      </w:r>
    </w:p>
    <w:p w14:paraId="51906E1C" w14:textId="0F703EA8" w:rsidR="007E3ABB" w:rsidRDefault="007E3ABB" w:rsidP="007E3ABB">
      <w:pPr>
        <w:pStyle w:val="List1"/>
      </w:pPr>
      <w:r>
        <w:t>Note the information provided in this paper.</w:t>
      </w:r>
    </w:p>
    <w:p w14:paraId="53D7BE35" w14:textId="0F81C598" w:rsidR="007E3ABB" w:rsidRPr="001E7049" w:rsidRDefault="007E3ABB" w:rsidP="007E3ABB">
      <w:pPr>
        <w:pStyle w:val="List1"/>
      </w:pPr>
      <w:r w:rsidRPr="001E7049">
        <w:t>Assess the convenience to update the existing IALA Guideline</w:t>
      </w:r>
      <w:r w:rsidR="002A307E">
        <w:t>s</w:t>
      </w:r>
      <w:r w:rsidRPr="001E7049">
        <w:t xml:space="preserve"> G1129</w:t>
      </w:r>
      <w:r>
        <w:t xml:space="preserve"> </w:t>
      </w:r>
      <w:r>
        <w:fldChar w:fldCharType="begin"/>
      </w:r>
      <w:r>
        <w:instrText xml:space="preserve"> REF _Ref535491306 \r \h </w:instrText>
      </w:r>
      <w:r>
        <w:fldChar w:fldCharType="separate"/>
      </w:r>
      <w:r w:rsidR="007D058C">
        <w:t>[1]</w:t>
      </w:r>
      <w:r>
        <w:fldChar w:fldCharType="end"/>
      </w:r>
      <w:r w:rsidRPr="001E7049">
        <w:t xml:space="preserve"> </w:t>
      </w:r>
      <w:proofErr w:type="gramStart"/>
      <w:r w:rsidRPr="001E7049">
        <w:t>taking into account</w:t>
      </w:r>
      <w:proofErr w:type="gramEnd"/>
      <w:r w:rsidRPr="001E7049">
        <w:t xml:space="preserve"> the </w:t>
      </w:r>
      <w:r>
        <w:t xml:space="preserve">operational benefits identified in </w:t>
      </w:r>
      <w:r w:rsidRPr="001E7049">
        <w:t xml:space="preserve">this project. </w:t>
      </w:r>
    </w:p>
    <w:p w14:paraId="15DE65EA" w14:textId="60207A23" w:rsidR="00F25BF4" w:rsidRPr="007A395D" w:rsidRDefault="005D5D4F" w:rsidP="00F36489">
      <w:pPr>
        <w:pStyle w:val="List1"/>
      </w:pPr>
      <w:r>
        <w:t xml:space="preserve">To consider for information the general recommendations derived from the SC24 project </w:t>
      </w:r>
      <w:r>
        <w:fldChar w:fldCharType="begin"/>
      </w:r>
      <w:r>
        <w:instrText xml:space="preserve"> REF _Ref535491473 \r \h </w:instrText>
      </w:r>
      <w:r>
        <w:fldChar w:fldCharType="separate"/>
      </w:r>
      <w:r w:rsidR="007D058C">
        <w:t>[2]</w:t>
      </w:r>
      <w:r>
        <w:fldChar w:fldCharType="end"/>
      </w:r>
      <w:r w:rsidR="007E3ABB">
        <w:t>.</w:t>
      </w:r>
    </w:p>
    <w:p w14:paraId="0FF88346" w14:textId="77777777" w:rsidR="004D1D85" w:rsidRPr="007A395D" w:rsidRDefault="004D1D85" w:rsidP="00F36489">
      <w:pPr>
        <w:pStyle w:val="List1"/>
        <w:numPr>
          <w:ilvl w:val="0"/>
          <w:numId w:val="0"/>
        </w:numPr>
        <w:ind w:left="567"/>
      </w:pPr>
    </w:p>
    <w:p w14:paraId="4BD0CFEC" w14:textId="77777777" w:rsidR="004D1D85" w:rsidRPr="007A395D" w:rsidRDefault="004D1D85" w:rsidP="00F36489">
      <w:pPr>
        <w:pStyle w:val="List1"/>
        <w:numPr>
          <w:ilvl w:val="0"/>
          <w:numId w:val="0"/>
        </w:numPr>
        <w:ind w:left="567"/>
      </w:pPr>
    </w:p>
    <w:p w14:paraId="24C5731E" w14:textId="77777777" w:rsidR="004D1D85" w:rsidRPr="007A395D" w:rsidRDefault="004D1D85" w:rsidP="0093354F">
      <w:pPr>
        <w:pStyle w:val="Annex"/>
        <w:sectPr w:rsidR="004D1D85" w:rsidRPr="007A395D" w:rsidSect="007A395D">
          <w:headerReference w:type="even" r:id="rId9"/>
          <w:headerReference w:type="default" r:id="rId10"/>
          <w:footerReference w:type="default" r:id="rId11"/>
          <w:headerReference w:type="first" r:id="rId12"/>
          <w:pgSz w:w="11906" w:h="16838"/>
          <w:pgMar w:top="709" w:right="991" w:bottom="1134" w:left="1134" w:header="709" w:footer="709" w:gutter="0"/>
          <w:cols w:space="708"/>
          <w:titlePg/>
          <w:docGrid w:linePitch="360"/>
        </w:sectPr>
      </w:pPr>
    </w:p>
    <w:p w14:paraId="45DE0C55" w14:textId="77777777" w:rsidR="000005D3" w:rsidRPr="007A395D" w:rsidRDefault="00727E99" w:rsidP="004737B9">
      <w:pPr>
        <w:pStyle w:val="Annex"/>
      </w:pPr>
      <w:bookmarkStart w:id="6" w:name="_Ref535493642"/>
      <w:r>
        <w:lastRenderedPageBreak/>
        <w:t>– Project Recommendations</w:t>
      </w:r>
      <w:bookmarkEnd w:id="6"/>
    </w:p>
    <w:p w14:paraId="728BE8D3" w14:textId="77777777" w:rsidR="00727E99" w:rsidRPr="00727E99" w:rsidRDefault="00727E99" w:rsidP="00727E99">
      <w:pPr>
        <w:pStyle w:val="AnnexHeading1"/>
        <w:rPr>
          <w:rFonts w:ascii="Calibri" w:hAnsi="Calibri"/>
          <w:color w:val="4F81BD" w:themeColor="accent1"/>
        </w:rPr>
      </w:pPr>
      <w:bookmarkStart w:id="7" w:name="_Ref533236278"/>
      <w:bookmarkStart w:id="8" w:name="_Ref533354666"/>
      <w:bookmarkStart w:id="9" w:name="_Toc534889600"/>
      <w:r w:rsidRPr="00727E99">
        <w:rPr>
          <w:rFonts w:ascii="Calibri" w:hAnsi="Calibri"/>
          <w:color w:val="4F81BD" w:themeColor="accent1"/>
        </w:rPr>
        <w:t>Project recommendations</w:t>
      </w:r>
      <w:bookmarkEnd w:id="7"/>
      <w:bookmarkEnd w:id="8"/>
      <w:bookmarkEnd w:id="9"/>
    </w:p>
    <w:p w14:paraId="7C6FDF95" w14:textId="77777777" w:rsidR="00727E99" w:rsidRPr="003C4338" w:rsidRDefault="00727E99" w:rsidP="008F07D1">
      <w:pPr>
        <w:pStyle w:val="BodyText"/>
      </w:pPr>
      <w:r w:rsidRPr="003C4338">
        <w:t xml:space="preserve">This section details the list of recommendations derived from the project. </w:t>
      </w:r>
    </w:p>
    <w:p w14:paraId="6AE15DEC" w14:textId="77777777" w:rsidR="00727E99" w:rsidRPr="00727E99" w:rsidRDefault="00727E99" w:rsidP="00727E99">
      <w:pPr>
        <w:pStyle w:val="AnnexHeading2"/>
        <w:rPr>
          <w:rFonts w:ascii="Calibri" w:hAnsi="Calibri"/>
          <w:color w:val="4F81BD" w:themeColor="accent1"/>
        </w:rPr>
      </w:pPr>
      <w:bookmarkStart w:id="10" w:name="_Toc534889601"/>
      <w:r w:rsidRPr="00727E99">
        <w:rPr>
          <w:rFonts w:ascii="Calibri" w:hAnsi="Calibri"/>
          <w:color w:val="4F81BD" w:themeColor="accent1"/>
        </w:rPr>
        <w:t>Recommendations to Competent National Authorities</w:t>
      </w:r>
      <w:bookmarkEnd w:id="10"/>
    </w:p>
    <w:p w14:paraId="57DE25EF" w14:textId="77777777" w:rsidR="00727E99" w:rsidRPr="00727E99" w:rsidRDefault="00727E99" w:rsidP="00727E99">
      <w:pPr>
        <w:rPr>
          <w:rFonts w:asciiTheme="minorHAnsi" w:hAnsiTheme="minorHAnsi"/>
        </w:rPr>
      </w:pPr>
      <w:r w:rsidRPr="00727E99">
        <w:rPr>
          <w:rFonts w:asciiTheme="minorHAnsi" w:hAnsiTheme="minorHAnsi"/>
        </w:rPr>
        <w:t>In general terms, authorities should consider the following technical recommendations when implementing an Aid to Navigation service based on EGNOS (centralised or hybrid architecture):</w:t>
      </w:r>
    </w:p>
    <w:p w14:paraId="006233DF" w14:textId="401F096D" w:rsidR="00727E99" w:rsidRPr="00727E99" w:rsidRDefault="00727E99" w:rsidP="008C6670">
      <w:pPr>
        <w:numPr>
          <w:ilvl w:val="0"/>
          <w:numId w:val="21"/>
        </w:numPr>
        <w:jc w:val="both"/>
        <w:rPr>
          <w:rFonts w:asciiTheme="minorHAnsi" w:hAnsiTheme="minorHAnsi" w:cs="Arial"/>
        </w:rPr>
      </w:pPr>
      <w:r w:rsidRPr="00727E99">
        <w:rPr>
          <w:rFonts w:asciiTheme="minorHAnsi" w:hAnsiTheme="minorHAnsi" w:cs="Arial"/>
        </w:rPr>
        <w:t xml:space="preserve">Ensure good </w:t>
      </w:r>
      <w:r w:rsidRPr="00727E99">
        <w:rPr>
          <w:rFonts w:asciiTheme="minorHAnsi" w:hAnsiTheme="minorHAnsi" w:cs="Arial"/>
          <w:b/>
          <w:bCs/>
        </w:rPr>
        <w:t>communications</w:t>
      </w:r>
      <w:r w:rsidRPr="00727E99">
        <w:rPr>
          <w:rFonts w:asciiTheme="minorHAnsi" w:hAnsiTheme="minorHAnsi" w:cs="Arial"/>
        </w:rPr>
        <w:t xml:space="preserve"> lines both to transmit the corrections generated at the server as to get </w:t>
      </w:r>
      <w:r w:rsidRPr="00727E99">
        <w:rPr>
          <w:rFonts w:asciiTheme="minorHAnsi" w:hAnsiTheme="minorHAnsi" w:cs="Arial"/>
          <w:b/>
          <w:bCs/>
        </w:rPr>
        <w:t>raw data from the monitoring stations for PBM</w:t>
      </w:r>
      <w:r w:rsidR="00953A3B">
        <w:rPr>
          <w:rFonts w:asciiTheme="minorHAnsi" w:hAnsiTheme="minorHAnsi" w:cs="Arial"/>
          <w:b/>
          <w:bCs/>
        </w:rPr>
        <w:t xml:space="preserve"> </w:t>
      </w:r>
      <w:r w:rsidR="00953A3B" w:rsidRPr="00D61E22">
        <w:rPr>
          <w:rFonts w:asciiTheme="minorHAnsi" w:hAnsiTheme="minorHAnsi" w:cs="Arial"/>
          <w:bCs/>
        </w:rPr>
        <w:t>(Id #1)</w:t>
      </w:r>
    </w:p>
    <w:p w14:paraId="526C90A8" w14:textId="77777777" w:rsidR="00727E99" w:rsidRPr="00727E99" w:rsidRDefault="00727E99" w:rsidP="008C6670">
      <w:pPr>
        <w:numPr>
          <w:ilvl w:val="0"/>
          <w:numId w:val="21"/>
        </w:numPr>
        <w:jc w:val="both"/>
        <w:rPr>
          <w:rFonts w:asciiTheme="minorHAnsi" w:hAnsiTheme="minorHAnsi" w:cs="Arial"/>
        </w:rPr>
      </w:pPr>
      <w:r w:rsidRPr="00727E99">
        <w:rPr>
          <w:rFonts w:asciiTheme="minorHAnsi" w:hAnsiTheme="minorHAnsi" w:cs="Arial"/>
        </w:rPr>
        <w:t>Equipment (receiver and antenna) used for PBM and FFM should be of high quality (geodetic receiver and antenna). It is of special relevance that the antenna has multipath reduction capability (Id #2).</w:t>
      </w:r>
    </w:p>
    <w:p w14:paraId="29F6620A" w14:textId="77777777" w:rsidR="00727E99" w:rsidRPr="00727E99" w:rsidRDefault="00727E99" w:rsidP="008C6670">
      <w:pPr>
        <w:numPr>
          <w:ilvl w:val="0"/>
          <w:numId w:val="21"/>
        </w:numPr>
        <w:jc w:val="both"/>
        <w:rPr>
          <w:rFonts w:asciiTheme="minorHAnsi" w:hAnsiTheme="minorHAnsi" w:cs="Arial"/>
        </w:rPr>
      </w:pPr>
      <w:r w:rsidRPr="00727E99">
        <w:rPr>
          <w:rFonts w:asciiTheme="minorHAnsi" w:hAnsiTheme="minorHAnsi" w:cs="Arial"/>
          <w:b/>
          <w:bCs/>
        </w:rPr>
        <w:t xml:space="preserve">Location of the installed antenna for PBM </w:t>
      </w:r>
      <w:r w:rsidRPr="00727E99">
        <w:rPr>
          <w:rFonts w:asciiTheme="minorHAnsi" w:hAnsiTheme="minorHAnsi" w:cs="Arial"/>
        </w:rPr>
        <w:t>(away from possible local interference effects) is crucial to achieve a good system performance (Id #3).</w:t>
      </w:r>
    </w:p>
    <w:p w14:paraId="6C1BD5CC" w14:textId="01B97258" w:rsidR="00727E99" w:rsidRPr="00727E99" w:rsidRDefault="00727E99" w:rsidP="00727E99">
      <w:pPr>
        <w:rPr>
          <w:rFonts w:asciiTheme="minorHAnsi" w:hAnsiTheme="minorHAnsi"/>
        </w:rPr>
      </w:pPr>
      <w:r w:rsidRPr="00727E99">
        <w:rPr>
          <w:rFonts w:asciiTheme="minorHAnsi" w:hAnsiTheme="minorHAnsi"/>
        </w:rPr>
        <w:t>Notwithstanding, particular recommendations for IALA, AIS and communications have been derived from the execution of the pilot projects and are presented</w:t>
      </w:r>
      <w:r w:rsidR="00953A3B">
        <w:rPr>
          <w:rFonts w:asciiTheme="minorHAnsi" w:hAnsiTheme="minorHAnsi"/>
        </w:rPr>
        <w:t xml:space="preserve"> below.</w:t>
      </w:r>
    </w:p>
    <w:p w14:paraId="02E5EDD9" w14:textId="77777777" w:rsidR="00727E99" w:rsidRPr="0080717D" w:rsidRDefault="00727E99" w:rsidP="00D61E22">
      <w:pPr>
        <w:spacing w:before="120"/>
        <w:rPr>
          <w:rFonts w:asciiTheme="minorHAnsi" w:hAnsiTheme="minorHAnsi"/>
          <w:b/>
          <w:u w:val="single"/>
        </w:rPr>
      </w:pPr>
      <w:r w:rsidRPr="00C3304E">
        <w:rPr>
          <w:rFonts w:asciiTheme="minorHAnsi" w:hAnsiTheme="minorHAnsi"/>
          <w:b/>
          <w:u w:val="single"/>
        </w:rPr>
        <w:t>Particular recommendations for IALA beacons</w:t>
      </w:r>
    </w:p>
    <w:p w14:paraId="49E23F53" w14:textId="77777777" w:rsidR="00727E99" w:rsidRPr="00727E99" w:rsidRDefault="00727E99" w:rsidP="008C6670">
      <w:pPr>
        <w:rPr>
          <w:rFonts w:asciiTheme="minorHAnsi" w:hAnsiTheme="minorHAnsi" w:cs="Arial"/>
        </w:rPr>
      </w:pPr>
      <w:r w:rsidRPr="00727E99">
        <w:rPr>
          <w:rFonts w:asciiTheme="minorHAnsi" w:hAnsiTheme="minorHAnsi" w:cs="Arial"/>
        </w:rPr>
        <w:t xml:space="preserve">When broadcasting </w:t>
      </w:r>
      <w:r w:rsidRPr="00727E99">
        <w:rPr>
          <w:rFonts w:asciiTheme="minorHAnsi" w:hAnsiTheme="minorHAnsi" w:cs="Arial"/>
          <w:b/>
          <w:bCs/>
        </w:rPr>
        <w:t>corrections through IALA beacons</w:t>
      </w:r>
      <w:r w:rsidRPr="00727E99">
        <w:rPr>
          <w:rFonts w:asciiTheme="minorHAnsi" w:hAnsiTheme="minorHAnsi" w:cs="Arial"/>
          <w:bCs/>
        </w:rPr>
        <w:t>, authorities should take into account</w:t>
      </w:r>
      <w:r w:rsidRPr="00727E99">
        <w:rPr>
          <w:rFonts w:asciiTheme="minorHAnsi" w:hAnsiTheme="minorHAnsi" w:cs="Arial"/>
        </w:rPr>
        <w:t xml:space="preserve"> the following recommendation:</w:t>
      </w:r>
    </w:p>
    <w:p w14:paraId="07A4346A" w14:textId="77777777" w:rsidR="00727E99" w:rsidRPr="00727E99" w:rsidRDefault="00727E99" w:rsidP="00727E99">
      <w:pPr>
        <w:pStyle w:val="ListParagraph"/>
        <w:numPr>
          <w:ilvl w:val="0"/>
          <w:numId w:val="22"/>
        </w:numPr>
        <w:jc w:val="both"/>
        <w:rPr>
          <w:rFonts w:asciiTheme="minorHAnsi" w:hAnsiTheme="minorHAnsi"/>
        </w:rPr>
      </w:pPr>
      <w:r w:rsidRPr="00727E99">
        <w:rPr>
          <w:rFonts w:asciiTheme="minorHAnsi" w:hAnsiTheme="minorHAnsi"/>
        </w:rPr>
        <w:t xml:space="preserve">In case a communication outage between the central server and the transmitter site occurs, the system should be designed to avoid buffering and retransmitting the old corrections once the communication is resumed </w:t>
      </w:r>
      <w:r w:rsidRPr="00727E99">
        <w:rPr>
          <w:rFonts w:asciiTheme="minorHAnsi" w:hAnsiTheme="minorHAnsi" w:cs="Arial"/>
        </w:rPr>
        <w:t>(Id #4)</w:t>
      </w:r>
      <w:r w:rsidRPr="00727E99">
        <w:rPr>
          <w:rFonts w:asciiTheme="minorHAnsi" w:hAnsiTheme="minorHAnsi"/>
        </w:rPr>
        <w:t>.</w:t>
      </w:r>
    </w:p>
    <w:p w14:paraId="417B8825" w14:textId="77777777" w:rsidR="00727E99" w:rsidRPr="00727E99" w:rsidRDefault="00727E99" w:rsidP="00727E99">
      <w:pPr>
        <w:rPr>
          <w:rFonts w:asciiTheme="minorHAnsi" w:hAnsiTheme="minorHAnsi"/>
        </w:rPr>
      </w:pPr>
    </w:p>
    <w:p w14:paraId="3B22D1C7" w14:textId="77777777" w:rsidR="00727E99" w:rsidRPr="00727E99" w:rsidRDefault="00727E99" w:rsidP="00D61E22">
      <w:pPr>
        <w:jc w:val="both"/>
        <w:rPr>
          <w:rFonts w:asciiTheme="minorHAnsi" w:hAnsiTheme="minorHAnsi"/>
        </w:rPr>
      </w:pPr>
      <w:r w:rsidRPr="00727E99">
        <w:rPr>
          <w:rFonts w:asciiTheme="minorHAnsi" w:hAnsiTheme="minorHAnsi"/>
        </w:rPr>
        <w:t xml:space="preserve">Even though this issue has been identified when using a DGNSS radio-beacon, it can also be made extensible to AIS architectures.  </w:t>
      </w:r>
    </w:p>
    <w:p w14:paraId="41D68D12" w14:textId="77777777" w:rsidR="00727E99" w:rsidRPr="00727E99" w:rsidRDefault="00727E99" w:rsidP="00D61E22">
      <w:pPr>
        <w:spacing w:before="120"/>
        <w:rPr>
          <w:rFonts w:asciiTheme="minorHAnsi" w:hAnsiTheme="minorHAnsi"/>
          <w:b/>
          <w:u w:val="single"/>
        </w:rPr>
      </w:pPr>
      <w:r w:rsidRPr="00727E99">
        <w:rPr>
          <w:rFonts w:asciiTheme="minorHAnsi" w:hAnsiTheme="minorHAnsi"/>
          <w:b/>
          <w:u w:val="single"/>
        </w:rPr>
        <w:t>Particular recommendations for AIS Base stations</w:t>
      </w:r>
    </w:p>
    <w:p w14:paraId="5EEEB3D8" w14:textId="77777777" w:rsidR="00727E99" w:rsidRPr="00727E99" w:rsidRDefault="00727E99" w:rsidP="00D61E22">
      <w:pPr>
        <w:spacing w:after="120"/>
        <w:rPr>
          <w:rFonts w:asciiTheme="minorHAnsi" w:hAnsiTheme="minorHAnsi" w:cs="Arial"/>
        </w:rPr>
      </w:pPr>
      <w:r w:rsidRPr="00727E99">
        <w:rPr>
          <w:rFonts w:asciiTheme="minorHAnsi" w:hAnsiTheme="minorHAnsi" w:cs="Arial"/>
        </w:rPr>
        <w:t xml:space="preserve">When broadcasting </w:t>
      </w:r>
      <w:r w:rsidRPr="00727E99">
        <w:rPr>
          <w:rFonts w:asciiTheme="minorHAnsi" w:hAnsiTheme="minorHAnsi" w:cs="Arial"/>
          <w:b/>
          <w:bCs/>
        </w:rPr>
        <w:t>corrections through AIS</w:t>
      </w:r>
      <w:r w:rsidRPr="00727E99">
        <w:rPr>
          <w:rFonts w:asciiTheme="minorHAnsi" w:hAnsiTheme="minorHAnsi" w:cs="Arial"/>
          <w:bCs/>
        </w:rPr>
        <w:t>, authorities should take into account</w:t>
      </w:r>
      <w:r w:rsidRPr="00727E99">
        <w:rPr>
          <w:rFonts w:asciiTheme="minorHAnsi" w:hAnsiTheme="minorHAnsi" w:cs="Arial"/>
        </w:rPr>
        <w:t>:</w:t>
      </w:r>
    </w:p>
    <w:p w14:paraId="0308589F" w14:textId="1DBB531E" w:rsidR="00727E99" w:rsidRPr="00953A3B" w:rsidRDefault="00727E99">
      <w:pPr>
        <w:numPr>
          <w:ilvl w:val="0"/>
          <w:numId w:val="24"/>
        </w:numPr>
        <w:jc w:val="both"/>
        <w:rPr>
          <w:rFonts w:asciiTheme="minorHAnsi" w:hAnsiTheme="minorHAnsi" w:cs="Arial"/>
        </w:rPr>
      </w:pPr>
      <w:r w:rsidRPr="00727E99">
        <w:rPr>
          <w:rFonts w:asciiTheme="minorHAnsi" w:hAnsiTheme="minorHAnsi" w:cs="Arial"/>
        </w:rPr>
        <w:t xml:space="preserve">Verification that the AIS Base Station can actually </w:t>
      </w:r>
      <w:r w:rsidRPr="00727E99">
        <w:rPr>
          <w:rFonts w:asciiTheme="minorHAnsi" w:hAnsiTheme="minorHAnsi" w:cs="Arial"/>
          <w:b/>
          <w:bCs/>
        </w:rPr>
        <w:t>broadcast Message 17</w:t>
      </w:r>
      <w:r w:rsidR="00953A3B">
        <w:rPr>
          <w:rFonts w:asciiTheme="minorHAnsi" w:hAnsiTheme="minorHAnsi" w:cs="Arial"/>
          <w:b/>
          <w:bCs/>
        </w:rPr>
        <w:t xml:space="preserve">. </w:t>
      </w:r>
      <w:r w:rsidRPr="00953A3B">
        <w:rPr>
          <w:rFonts w:asciiTheme="minorHAnsi" w:hAnsiTheme="minorHAnsi" w:cs="Arial"/>
        </w:rPr>
        <w:t xml:space="preserve">When planning to use an AIS Base Station as a </w:t>
      </w:r>
      <w:r w:rsidRPr="00953A3B">
        <w:rPr>
          <w:rFonts w:asciiTheme="minorHAnsi" w:hAnsiTheme="minorHAnsi" w:cs="Arial"/>
          <w:b/>
          <w:bCs/>
        </w:rPr>
        <w:t>FFM</w:t>
      </w:r>
      <w:r w:rsidRPr="00953A3B">
        <w:rPr>
          <w:rFonts w:asciiTheme="minorHAnsi" w:hAnsiTheme="minorHAnsi" w:cs="Arial"/>
        </w:rPr>
        <w:t xml:space="preserve">, verification that it can actually </w:t>
      </w:r>
      <w:r w:rsidRPr="00953A3B">
        <w:rPr>
          <w:rFonts w:asciiTheme="minorHAnsi" w:hAnsiTheme="minorHAnsi" w:cs="Arial"/>
          <w:b/>
          <w:bCs/>
        </w:rPr>
        <w:t xml:space="preserve">use Message 17 to compute its position </w:t>
      </w:r>
      <w:r w:rsidRPr="00953A3B">
        <w:rPr>
          <w:rFonts w:asciiTheme="minorHAnsi" w:hAnsiTheme="minorHAnsi" w:cs="Arial"/>
        </w:rPr>
        <w:t>(Id #</w:t>
      </w:r>
      <w:r w:rsidR="00953A3B">
        <w:rPr>
          <w:rFonts w:asciiTheme="minorHAnsi" w:hAnsiTheme="minorHAnsi" w:cs="Arial"/>
        </w:rPr>
        <w:t>5</w:t>
      </w:r>
      <w:r w:rsidRPr="00953A3B">
        <w:rPr>
          <w:rFonts w:asciiTheme="minorHAnsi" w:hAnsiTheme="minorHAnsi" w:cs="Arial"/>
        </w:rPr>
        <w:t>).</w:t>
      </w:r>
    </w:p>
    <w:p w14:paraId="723C8F0B" w14:textId="542795A7" w:rsidR="00727E99" w:rsidRPr="00727E99" w:rsidRDefault="00727E99" w:rsidP="008C6670">
      <w:pPr>
        <w:numPr>
          <w:ilvl w:val="0"/>
          <w:numId w:val="24"/>
        </w:numPr>
        <w:jc w:val="both"/>
        <w:rPr>
          <w:rFonts w:asciiTheme="minorHAnsi" w:hAnsiTheme="minorHAnsi" w:cs="Arial"/>
        </w:rPr>
      </w:pPr>
      <w:r w:rsidRPr="00727E99">
        <w:rPr>
          <w:rFonts w:asciiTheme="minorHAnsi" w:hAnsiTheme="minorHAnsi" w:cs="Arial"/>
          <w:b/>
          <w:bCs/>
        </w:rPr>
        <w:t xml:space="preserve">Ensure the following parameters are properly defined </w:t>
      </w:r>
      <w:r w:rsidR="002A307E">
        <w:rPr>
          <w:rFonts w:asciiTheme="minorHAnsi" w:hAnsiTheme="minorHAnsi" w:cs="Arial"/>
        </w:rPr>
        <w:t>(Id #6</w:t>
      </w:r>
      <w:r w:rsidRPr="00727E99">
        <w:rPr>
          <w:rFonts w:asciiTheme="minorHAnsi" w:hAnsiTheme="minorHAnsi" w:cs="Arial"/>
        </w:rPr>
        <w:t>)</w:t>
      </w:r>
      <w:r w:rsidRPr="00727E99">
        <w:rPr>
          <w:rFonts w:asciiTheme="minorHAnsi" w:hAnsiTheme="minorHAnsi" w:cs="Arial"/>
          <w:b/>
          <w:bCs/>
        </w:rPr>
        <w:t>:</w:t>
      </w:r>
    </w:p>
    <w:p w14:paraId="18489D8D" w14:textId="77777777" w:rsidR="00727E99" w:rsidRPr="00727E99" w:rsidRDefault="00727E99" w:rsidP="008C6670">
      <w:pPr>
        <w:numPr>
          <w:ilvl w:val="1"/>
          <w:numId w:val="25"/>
        </w:numPr>
        <w:jc w:val="both"/>
        <w:rPr>
          <w:rFonts w:asciiTheme="minorHAnsi" w:hAnsiTheme="minorHAnsi" w:cs="Arial"/>
        </w:rPr>
      </w:pPr>
      <w:r w:rsidRPr="00727E99">
        <w:rPr>
          <w:rFonts w:asciiTheme="minorHAnsi" w:hAnsiTheme="minorHAnsi" w:cs="Arial"/>
        </w:rPr>
        <w:t>Number of slots per message</w:t>
      </w:r>
    </w:p>
    <w:p w14:paraId="34D0DAB4" w14:textId="77777777" w:rsidR="00727E99" w:rsidRPr="00727E99" w:rsidRDefault="00727E99" w:rsidP="008C6670">
      <w:pPr>
        <w:numPr>
          <w:ilvl w:val="1"/>
          <w:numId w:val="25"/>
        </w:numPr>
        <w:jc w:val="both"/>
        <w:rPr>
          <w:rFonts w:asciiTheme="minorHAnsi" w:hAnsiTheme="minorHAnsi" w:cs="Arial"/>
        </w:rPr>
      </w:pPr>
      <w:r w:rsidRPr="00727E99">
        <w:rPr>
          <w:rFonts w:asciiTheme="minorHAnsi" w:hAnsiTheme="minorHAnsi" w:cs="Arial"/>
        </w:rPr>
        <w:t>Msg17 slot interval</w:t>
      </w:r>
    </w:p>
    <w:p w14:paraId="4B62F2DF" w14:textId="77777777" w:rsidR="00727E99" w:rsidRPr="00727E99" w:rsidRDefault="00727E99" w:rsidP="008C6670">
      <w:pPr>
        <w:numPr>
          <w:ilvl w:val="1"/>
          <w:numId w:val="25"/>
        </w:numPr>
        <w:jc w:val="both"/>
        <w:rPr>
          <w:rFonts w:asciiTheme="minorHAnsi" w:hAnsiTheme="minorHAnsi" w:cs="Arial"/>
        </w:rPr>
      </w:pPr>
      <w:r w:rsidRPr="00727E99">
        <w:rPr>
          <w:rFonts w:asciiTheme="minorHAnsi" w:hAnsiTheme="minorHAnsi" w:cs="Arial"/>
        </w:rPr>
        <w:t>Separation between Msg17 start slots on AIS channels A and B</w:t>
      </w:r>
    </w:p>
    <w:p w14:paraId="2E0C39CB" w14:textId="41F9911C" w:rsidR="00727E99" w:rsidRPr="00727E99" w:rsidRDefault="00727E99" w:rsidP="00D61E22">
      <w:pPr>
        <w:ind w:left="720"/>
        <w:rPr>
          <w:rFonts w:asciiTheme="minorHAnsi" w:hAnsiTheme="minorHAnsi" w:cs="Arial"/>
        </w:rPr>
      </w:pPr>
      <w:r w:rsidRPr="00727E99">
        <w:rPr>
          <w:rFonts w:asciiTheme="minorHAnsi" w:eastAsiaTheme="minorHAnsi" w:hAnsiTheme="minorHAnsi" w:cs="ArialMT"/>
        </w:rPr>
        <w:t xml:space="preserve">IALA Recommendation A-124 Appendix 16 </w:t>
      </w:r>
      <w:r w:rsidRPr="00727E99">
        <w:rPr>
          <w:rFonts w:asciiTheme="minorHAnsi" w:hAnsiTheme="minorHAnsi"/>
        </w:rPr>
        <w:t>provides general recommendations on AIS Message 17 slot settings. However, the actual implementation depends on local circumstances (e.g. location, traffic density, GNSS systems supported, whether AIS base station models in use support single slot reservation to meet 10 seconds TTA or not, etc.)</w:t>
      </w:r>
      <w:r w:rsidR="007D058C">
        <w:rPr>
          <w:rFonts w:asciiTheme="minorHAnsi" w:hAnsiTheme="minorHAnsi"/>
        </w:rPr>
        <w:t>.</w:t>
      </w:r>
      <w:r w:rsidRPr="00727E99">
        <w:rPr>
          <w:rFonts w:asciiTheme="minorHAnsi" w:hAnsiTheme="minorHAnsi"/>
        </w:rPr>
        <w:t xml:space="preserve"> Hence, these parameters should be defined on a case by case basis.</w:t>
      </w:r>
    </w:p>
    <w:p w14:paraId="2611DFFD" w14:textId="1E40A708" w:rsidR="00727E99" w:rsidRPr="00727E99" w:rsidRDefault="00727E99" w:rsidP="008C6670">
      <w:pPr>
        <w:numPr>
          <w:ilvl w:val="0"/>
          <w:numId w:val="24"/>
        </w:numPr>
        <w:jc w:val="both"/>
        <w:rPr>
          <w:rFonts w:asciiTheme="minorHAnsi" w:hAnsiTheme="minorHAnsi" w:cs="Arial"/>
        </w:rPr>
      </w:pPr>
      <w:r w:rsidRPr="00727E99">
        <w:rPr>
          <w:rFonts w:asciiTheme="minorHAnsi" w:hAnsiTheme="minorHAnsi" w:cs="Arial"/>
        </w:rPr>
        <w:t xml:space="preserve">In order to </w:t>
      </w:r>
      <w:r w:rsidRPr="00727E99">
        <w:rPr>
          <w:rFonts w:asciiTheme="minorHAnsi" w:hAnsiTheme="minorHAnsi" w:cs="Arial"/>
          <w:b/>
        </w:rPr>
        <w:t>minimise impact of transmission of Message Type 17 on other types of information</w:t>
      </w:r>
      <w:r w:rsidRPr="00727E99">
        <w:rPr>
          <w:rFonts w:asciiTheme="minorHAnsi" w:hAnsiTheme="minorHAnsi" w:cs="Arial"/>
        </w:rPr>
        <w:t>, the following approach should be followed (Id #</w:t>
      </w:r>
      <w:r w:rsidR="00953A3B">
        <w:rPr>
          <w:rFonts w:asciiTheme="minorHAnsi" w:hAnsiTheme="minorHAnsi" w:cs="Arial"/>
        </w:rPr>
        <w:t>6</w:t>
      </w:r>
      <w:r w:rsidRPr="00727E99">
        <w:rPr>
          <w:rFonts w:asciiTheme="minorHAnsi" w:hAnsiTheme="minorHAnsi" w:cs="Arial"/>
        </w:rPr>
        <w:t>):</w:t>
      </w:r>
    </w:p>
    <w:p w14:paraId="16CAAC14" w14:textId="77777777" w:rsidR="00727E99" w:rsidRPr="00727E99" w:rsidRDefault="00727E99" w:rsidP="008C6670">
      <w:pPr>
        <w:pStyle w:val="ListParagraph"/>
        <w:numPr>
          <w:ilvl w:val="0"/>
          <w:numId w:val="23"/>
        </w:numPr>
        <w:spacing w:line="259" w:lineRule="auto"/>
        <w:ind w:left="1440"/>
        <w:jc w:val="both"/>
        <w:rPr>
          <w:rFonts w:asciiTheme="minorHAnsi" w:hAnsiTheme="minorHAnsi" w:cstheme="minorHAnsi"/>
        </w:rPr>
      </w:pPr>
      <w:r w:rsidRPr="00727E99">
        <w:rPr>
          <w:rFonts w:asciiTheme="minorHAnsi" w:hAnsiTheme="minorHAnsi" w:cstheme="minorHAnsi"/>
        </w:rPr>
        <w:t xml:space="preserve">As long as there is not an integrity event, other messages can use message 17 slots. However, a minimum update rate of the corrections shall be respected in order to ensure that corrections are provided for all visible satellites and in this way preserve positioning accuracy. </w:t>
      </w:r>
    </w:p>
    <w:p w14:paraId="78383375" w14:textId="07E90000" w:rsidR="00727E99" w:rsidRPr="00727E99" w:rsidRDefault="00727E99" w:rsidP="008C6670">
      <w:pPr>
        <w:pStyle w:val="ListParagraph"/>
        <w:numPr>
          <w:ilvl w:val="0"/>
          <w:numId w:val="23"/>
        </w:numPr>
        <w:spacing w:line="259" w:lineRule="auto"/>
        <w:ind w:left="1440"/>
        <w:jc w:val="both"/>
        <w:rPr>
          <w:rFonts w:asciiTheme="minorHAnsi" w:hAnsiTheme="minorHAnsi" w:cstheme="minorHAnsi"/>
        </w:rPr>
      </w:pPr>
      <w:r w:rsidRPr="00727E99">
        <w:rPr>
          <w:rFonts w:asciiTheme="minorHAnsi" w:hAnsiTheme="minorHAnsi" w:cstheme="minorHAnsi"/>
        </w:rPr>
        <w:t xml:space="preserve">A requirement shall be set to guarantee the capability of transmitting a message within the next 3 1/3 seconds upon an event as already stated in </w:t>
      </w:r>
      <w:r w:rsidRPr="00727E99">
        <w:rPr>
          <w:rFonts w:asciiTheme="minorHAnsi" w:eastAsiaTheme="minorHAnsi" w:hAnsiTheme="minorHAnsi" w:cs="ArialMT"/>
        </w:rPr>
        <w:t>IALA Recommendation A-124 Appendix 16</w:t>
      </w:r>
      <w:r w:rsidR="007D058C">
        <w:rPr>
          <w:rFonts w:asciiTheme="minorHAnsi" w:eastAsiaTheme="minorHAnsi" w:hAnsiTheme="minorHAnsi" w:cs="ArialMT"/>
        </w:rPr>
        <w:t xml:space="preserve">. </w:t>
      </w:r>
      <w:r w:rsidRPr="00727E99">
        <w:rPr>
          <w:rFonts w:asciiTheme="minorHAnsi" w:eastAsiaTheme="minorHAnsi" w:hAnsiTheme="minorHAnsi" w:cs="ArialMT"/>
        </w:rPr>
        <w:t xml:space="preserve">Alternatively, other ways to meet the 10-second TTA requirement should be identified. This question should be revisited within IALA. </w:t>
      </w:r>
    </w:p>
    <w:p w14:paraId="1F1B188D" w14:textId="77777777" w:rsidR="00727E99" w:rsidRPr="00727E99" w:rsidRDefault="00727E99" w:rsidP="00D61E22">
      <w:pPr>
        <w:keepNext/>
        <w:spacing w:before="120"/>
        <w:rPr>
          <w:rFonts w:asciiTheme="minorHAnsi" w:hAnsiTheme="minorHAnsi"/>
          <w:b/>
          <w:u w:val="single"/>
        </w:rPr>
      </w:pPr>
      <w:bookmarkStart w:id="11" w:name="_Ref532913376"/>
      <w:r w:rsidRPr="00727E99">
        <w:rPr>
          <w:rFonts w:asciiTheme="minorHAnsi" w:hAnsiTheme="minorHAnsi"/>
          <w:b/>
          <w:u w:val="single"/>
        </w:rPr>
        <w:lastRenderedPageBreak/>
        <w:t>Communication issues</w:t>
      </w:r>
      <w:bookmarkEnd w:id="11"/>
    </w:p>
    <w:p w14:paraId="6D89953D" w14:textId="10B1A697" w:rsidR="00727E99" w:rsidRPr="00727E99" w:rsidRDefault="00727E99" w:rsidP="008C6670">
      <w:pPr>
        <w:spacing w:after="120"/>
        <w:rPr>
          <w:rFonts w:asciiTheme="minorHAnsi" w:hAnsiTheme="minorHAnsi" w:cs="Arial"/>
        </w:rPr>
      </w:pPr>
      <w:r w:rsidRPr="00727E99">
        <w:rPr>
          <w:rFonts w:asciiTheme="minorHAnsi" w:hAnsiTheme="minorHAnsi" w:cs="Arial"/>
        </w:rPr>
        <w:t>In EGNOS-based centralised solutions, reliable communication lines are required to ensure that no data gaps or network outages occur, compromising the availability and continuity figures. This problem is common with other architectures that have similar communications requirements, such as:</w:t>
      </w:r>
    </w:p>
    <w:p w14:paraId="522F31F5" w14:textId="77777777" w:rsidR="00727E99" w:rsidRPr="00727E99" w:rsidRDefault="00727E99" w:rsidP="008C6670">
      <w:pPr>
        <w:pStyle w:val="ListParagraph"/>
        <w:numPr>
          <w:ilvl w:val="0"/>
          <w:numId w:val="28"/>
        </w:numPr>
        <w:jc w:val="both"/>
        <w:rPr>
          <w:rFonts w:asciiTheme="minorHAnsi" w:hAnsiTheme="minorHAnsi" w:cs="Arial"/>
        </w:rPr>
      </w:pPr>
      <w:r w:rsidRPr="00727E99">
        <w:rPr>
          <w:rFonts w:asciiTheme="minorHAnsi" w:hAnsiTheme="minorHAnsi" w:cs="Arial"/>
        </w:rPr>
        <w:t>DGNSS beacons following the network approach</w:t>
      </w:r>
    </w:p>
    <w:p w14:paraId="779C53F3" w14:textId="77777777" w:rsidR="00727E99" w:rsidRPr="00727E99" w:rsidRDefault="00727E99" w:rsidP="008C6670">
      <w:pPr>
        <w:pStyle w:val="ListParagraph"/>
        <w:numPr>
          <w:ilvl w:val="0"/>
          <w:numId w:val="28"/>
        </w:numPr>
        <w:jc w:val="both"/>
        <w:rPr>
          <w:rFonts w:asciiTheme="minorHAnsi" w:hAnsiTheme="minorHAnsi" w:cs="Arial"/>
        </w:rPr>
      </w:pPr>
      <w:r w:rsidRPr="00727E99">
        <w:rPr>
          <w:rFonts w:asciiTheme="minorHAnsi" w:hAnsiTheme="minorHAnsi" w:cs="Arial"/>
        </w:rPr>
        <w:t>AIS base stations that receive corrections via the Internet generated by a DGNSS reference station.</w:t>
      </w:r>
    </w:p>
    <w:p w14:paraId="434D8A36" w14:textId="77777777" w:rsidR="00727E99" w:rsidRPr="00727E99" w:rsidRDefault="00727E99" w:rsidP="00D61E22">
      <w:pPr>
        <w:spacing w:before="240" w:after="120"/>
        <w:jc w:val="both"/>
        <w:rPr>
          <w:rFonts w:asciiTheme="minorHAnsi" w:hAnsiTheme="minorHAnsi" w:cs="Arial"/>
        </w:rPr>
      </w:pPr>
      <w:r w:rsidRPr="00727E99">
        <w:rPr>
          <w:rFonts w:asciiTheme="minorHAnsi" w:hAnsiTheme="minorHAnsi" w:cs="Arial"/>
        </w:rPr>
        <w:t xml:space="preserve">These communication problems can be solved by setting Service Level Agreements (SLA) with the communication providers </w:t>
      </w:r>
      <w:r w:rsidRPr="00727E99">
        <w:rPr>
          <w:rFonts w:asciiTheme="minorHAnsi" w:hAnsiTheme="minorHAnsi"/>
        </w:rPr>
        <w:t>(</w:t>
      </w:r>
      <w:r w:rsidRPr="00727E99">
        <w:rPr>
          <w:rFonts w:asciiTheme="minorHAnsi" w:hAnsiTheme="minorHAnsi" w:cs="Arial"/>
        </w:rPr>
        <w:t xml:space="preserve">Id #1). </w:t>
      </w:r>
    </w:p>
    <w:p w14:paraId="10BC1A0E" w14:textId="77777777" w:rsidR="00727E99" w:rsidRPr="00727E99" w:rsidRDefault="00727E99" w:rsidP="00D61E22">
      <w:pPr>
        <w:jc w:val="both"/>
        <w:rPr>
          <w:rFonts w:asciiTheme="minorHAnsi" w:hAnsiTheme="minorHAnsi"/>
        </w:rPr>
      </w:pPr>
      <w:r w:rsidRPr="00727E99">
        <w:rPr>
          <w:rFonts w:asciiTheme="minorHAnsi" w:hAnsiTheme="minorHAnsi"/>
        </w:rPr>
        <w:t>However, for those cases where this is not possible (e.g. remote locations located in rural areas) or even when this is possible but to ensure enough redundancy, there are two alternative solutions (</w:t>
      </w:r>
      <w:r w:rsidRPr="00727E99">
        <w:rPr>
          <w:rFonts w:asciiTheme="minorHAnsi" w:hAnsiTheme="minorHAnsi" w:cs="Arial"/>
        </w:rPr>
        <w:t>Id #1)</w:t>
      </w:r>
      <w:r w:rsidRPr="00727E99">
        <w:rPr>
          <w:rFonts w:asciiTheme="minorHAnsi" w:hAnsiTheme="minorHAnsi"/>
        </w:rPr>
        <w:t>:</w:t>
      </w:r>
    </w:p>
    <w:p w14:paraId="1B4035CC" w14:textId="77777777" w:rsidR="00727E99" w:rsidRPr="00727E99" w:rsidRDefault="00727E99" w:rsidP="00727E99">
      <w:pPr>
        <w:rPr>
          <w:rFonts w:asciiTheme="minorHAnsi" w:hAnsiTheme="minorHAnsi"/>
        </w:rPr>
      </w:pPr>
    </w:p>
    <w:p w14:paraId="095C9B1E" w14:textId="77777777" w:rsidR="00727E99" w:rsidRPr="00727E99" w:rsidRDefault="00727E99" w:rsidP="00727E99">
      <w:pPr>
        <w:pStyle w:val="ListParagraph"/>
        <w:numPr>
          <w:ilvl w:val="0"/>
          <w:numId w:val="27"/>
        </w:numPr>
        <w:ind w:right="113"/>
        <w:jc w:val="both"/>
        <w:rPr>
          <w:rFonts w:asciiTheme="minorHAnsi" w:hAnsiTheme="minorHAnsi"/>
          <w:b/>
        </w:rPr>
      </w:pPr>
      <w:r w:rsidRPr="00727E99">
        <w:rPr>
          <w:rFonts w:asciiTheme="minorHAnsi" w:hAnsiTheme="minorHAnsi"/>
          <w:b/>
        </w:rPr>
        <w:t>Redundancy of monitoring stations</w:t>
      </w:r>
    </w:p>
    <w:p w14:paraId="40B796BB" w14:textId="77777777" w:rsidR="00727E99" w:rsidRPr="00727E99" w:rsidRDefault="00727E99" w:rsidP="00727E99">
      <w:pPr>
        <w:ind w:right="113"/>
        <w:rPr>
          <w:rFonts w:asciiTheme="minorHAnsi" w:hAnsiTheme="minorHAnsi"/>
        </w:rPr>
      </w:pPr>
      <w:r w:rsidRPr="00727E99">
        <w:rPr>
          <w:rFonts w:asciiTheme="minorHAnsi" w:hAnsiTheme="minorHAnsi"/>
        </w:rPr>
        <w:t>With this solution a network of IM stations is distributed in the service area, which will be responsible of:</w:t>
      </w:r>
    </w:p>
    <w:p w14:paraId="5E1E4CB0" w14:textId="77777777" w:rsidR="00727E99" w:rsidRPr="00727E99" w:rsidRDefault="00727E99" w:rsidP="00727E99">
      <w:pPr>
        <w:pStyle w:val="ListParagraph"/>
        <w:numPr>
          <w:ilvl w:val="0"/>
          <w:numId w:val="24"/>
        </w:numPr>
        <w:jc w:val="both"/>
        <w:rPr>
          <w:rFonts w:asciiTheme="minorHAnsi" w:hAnsiTheme="minorHAnsi"/>
        </w:rPr>
      </w:pPr>
      <w:r w:rsidRPr="00727E99">
        <w:rPr>
          <w:rFonts w:asciiTheme="minorHAnsi" w:hAnsiTheme="minorHAnsi"/>
        </w:rPr>
        <w:t>Providing raw data to perform the Pre-Broadcast Integrity checks at the Central Server.</w:t>
      </w:r>
    </w:p>
    <w:p w14:paraId="4B70E416" w14:textId="77777777" w:rsidR="00727E99" w:rsidRPr="00727E99" w:rsidRDefault="00727E99" w:rsidP="00727E99">
      <w:pPr>
        <w:pStyle w:val="ListParagraph"/>
        <w:numPr>
          <w:ilvl w:val="0"/>
          <w:numId w:val="24"/>
        </w:numPr>
        <w:jc w:val="both"/>
        <w:rPr>
          <w:rFonts w:asciiTheme="minorHAnsi" w:hAnsiTheme="minorHAnsi"/>
        </w:rPr>
      </w:pPr>
      <w:r w:rsidRPr="00727E99">
        <w:rPr>
          <w:rFonts w:asciiTheme="minorHAnsi" w:hAnsiTheme="minorHAnsi"/>
        </w:rPr>
        <w:t>Act as Far-Field monitors assessing also the quality of the correction data radio link.</w:t>
      </w:r>
    </w:p>
    <w:p w14:paraId="44EB0C43" w14:textId="77777777" w:rsidR="00727E99" w:rsidRPr="00727E99" w:rsidRDefault="00727E99" w:rsidP="00727E99">
      <w:pPr>
        <w:pStyle w:val="ListParagraph"/>
        <w:numPr>
          <w:ilvl w:val="0"/>
          <w:numId w:val="24"/>
        </w:numPr>
        <w:jc w:val="both"/>
        <w:rPr>
          <w:rFonts w:asciiTheme="minorHAnsi" w:hAnsiTheme="minorHAnsi"/>
        </w:rPr>
      </w:pPr>
      <w:r w:rsidRPr="00727E99">
        <w:rPr>
          <w:rFonts w:asciiTheme="minorHAnsi" w:hAnsiTheme="minorHAnsi"/>
        </w:rPr>
        <w:t>Inform service operators in case of problems detected with reference stations.</w:t>
      </w:r>
    </w:p>
    <w:p w14:paraId="0842523E" w14:textId="77777777" w:rsidR="00727E99" w:rsidRPr="00727E99" w:rsidRDefault="00727E99" w:rsidP="00727E99">
      <w:pPr>
        <w:rPr>
          <w:rFonts w:asciiTheme="minorHAnsi" w:hAnsiTheme="minorHAnsi"/>
        </w:rPr>
      </w:pPr>
    </w:p>
    <w:p w14:paraId="7359B736" w14:textId="0A50B73D" w:rsidR="00727E99" w:rsidRPr="00727E99" w:rsidRDefault="00727E99" w:rsidP="00D61E22">
      <w:pPr>
        <w:jc w:val="both"/>
        <w:rPr>
          <w:rFonts w:asciiTheme="minorHAnsi" w:hAnsiTheme="minorHAnsi"/>
        </w:rPr>
      </w:pPr>
      <w:r w:rsidRPr="00727E99">
        <w:rPr>
          <w:rFonts w:asciiTheme="minorHAnsi" w:hAnsiTheme="minorHAnsi"/>
        </w:rPr>
        <w:t xml:space="preserve">Furthermore, to ensure stations redundancy, it is </w:t>
      </w:r>
      <w:r w:rsidR="007D058C">
        <w:rPr>
          <w:rFonts w:asciiTheme="minorHAnsi" w:hAnsiTheme="minorHAnsi"/>
        </w:rPr>
        <w:t>possible</w:t>
      </w:r>
      <w:r w:rsidR="007D058C" w:rsidRPr="00727E99">
        <w:rPr>
          <w:rFonts w:asciiTheme="minorHAnsi" w:hAnsiTheme="minorHAnsi"/>
        </w:rPr>
        <w:t xml:space="preserve"> </w:t>
      </w:r>
      <w:r w:rsidRPr="00727E99">
        <w:rPr>
          <w:rFonts w:asciiTheme="minorHAnsi" w:hAnsiTheme="minorHAnsi"/>
        </w:rPr>
        <w:t>to use public GNSS networks for this purpose (EUREF Permanent Network, SAPOS network in Germany, etc.) perhaps with a combination of authority-owned sensor stations. This should reduce the deployment and maintenance costs.</w:t>
      </w:r>
    </w:p>
    <w:p w14:paraId="53D696A4" w14:textId="77777777" w:rsidR="00727E99" w:rsidRPr="00727E99" w:rsidRDefault="00727E99" w:rsidP="00727E99">
      <w:pPr>
        <w:rPr>
          <w:rFonts w:asciiTheme="minorHAnsi" w:hAnsiTheme="minorHAnsi"/>
        </w:rPr>
      </w:pPr>
    </w:p>
    <w:p w14:paraId="6A5DED83" w14:textId="77777777" w:rsidR="00727E99" w:rsidRPr="00727E99" w:rsidRDefault="00727E99" w:rsidP="00727E99">
      <w:pPr>
        <w:pStyle w:val="ListParagraph"/>
        <w:keepNext/>
        <w:numPr>
          <w:ilvl w:val="0"/>
          <w:numId w:val="27"/>
        </w:numPr>
        <w:jc w:val="both"/>
        <w:rPr>
          <w:rFonts w:asciiTheme="minorHAnsi" w:hAnsiTheme="minorHAnsi"/>
          <w:b/>
        </w:rPr>
      </w:pPr>
      <w:r w:rsidRPr="00727E99">
        <w:rPr>
          <w:rFonts w:asciiTheme="minorHAnsi" w:hAnsiTheme="minorHAnsi"/>
          <w:b/>
        </w:rPr>
        <w:t>Redundancy of data links</w:t>
      </w:r>
    </w:p>
    <w:p w14:paraId="306DB5EC" w14:textId="55926478" w:rsidR="00727E99" w:rsidRPr="00727E99" w:rsidRDefault="00727E99" w:rsidP="00D61E22">
      <w:pPr>
        <w:jc w:val="both"/>
        <w:rPr>
          <w:rFonts w:asciiTheme="minorHAnsi" w:hAnsiTheme="minorHAnsi"/>
        </w:rPr>
      </w:pPr>
      <w:r w:rsidRPr="00727E99">
        <w:rPr>
          <w:rFonts w:asciiTheme="minorHAnsi" w:hAnsiTheme="minorHAnsi"/>
        </w:rPr>
        <w:t xml:space="preserve">Diversification of data links is also beneficial to ensure that if a data link fails, another link can be available. </w:t>
      </w:r>
    </w:p>
    <w:p w14:paraId="7BE8F7D2" w14:textId="77777777" w:rsidR="00727E99" w:rsidRPr="00727E99" w:rsidRDefault="00727E99" w:rsidP="00727E99">
      <w:pPr>
        <w:rPr>
          <w:rFonts w:asciiTheme="minorHAnsi" w:hAnsiTheme="minorHAnsi"/>
        </w:rPr>
      </w:pPr>
    </w:p>
    <w:p w14:paraId="3378325E" w14:textId="77777777" w:rsidR="00727E99" w:rsidRPr="003C4338" w:rsidRDefault="00727E99" w:rsidP="00727E99">
      <w:r w:rsidRPr="00727E99">
        <w:rPr>
          <w:rFonts w:asciiTheme="minorHAnsi" w:hAnsiTheme="minorHAnsi"/>
        </w:rPr>
        <w:t>Both solutions can be implemented separately or a fair combination of both can also be adopted.</w:t>
      </w:r>
    </w:p>
    <w:p w14:paraId="31C526E5" w14:textId="7C41A5BF" w:rsidR="00727E99" w:rsidRPr="00727E99" w:rsidRDefault="00727E99" w:rsidP="00727E99">
      <w:pPr>
        <w:pStyle w:val="AnnexHeading2"/>
        <w:rPr>
          <w:rFonts w:ascii="Calibri" w:hAnsi="Calibri"/>
          <w:color w:val="4F81BD" w:themeColor="accent1"/>
        </w:rPr>
      </w:pPr>
      <w:bookmarkStart w:id="12" w:name="_Toc534889604"/>
      <w:r w:rsidRPr="00727E99">
        <w:rPr>
          <w:rFonts w:ascii="Calibri" w:hAnsi="Calibri"/>
          <w:color w:val="4F81BD" w:themeColor="accent1"/>
        </w:rPr>
        <w:t xml:space="preserve">Recommendations to </w:t>
      </w:r>
      <w:bookmarkEnd w:id="12"/>
      <w:r w:rsidR="00953A3B">
        <w:rPr>
          <w:rFonts w:ascii="Calibri" w:hAnsi="Calibri"/>
          <w:color w:val="4F81BD" w:themeColor="accent1"/>
        </w:rPr>
        <w:t>IALA</w:t>
      </w:r>
    </w:p>
    <w:p w14:paraId="776B4E11" w14:textId="77777777" w:rsidR="00727E99" w:rsidRPr="008F07D1" w:rsidRDefault="00727E99" w:rsidP="00D61E22">
      <w:pPr>
        <w:keepNext/>
        <w:spacing w:before="120"/>
        <w:rPr>
          <w:rFonts w:asciiTheme="minorHAnsi" w:hAnsiTheme="minorHAnsi"/>
          <w:b/>
          <w:u w:val="single"/>
        </w:rPr>
      </w:pPr>
      <w:r w:rsidRPr="008F07D1">
        <w:rPr>
          <w:rFonts w:asciiTheme="minorHAnsi" w:hAnsiTheme="minorHAnsi"/>
          <w:b/>
          <w:u w:val="single"/>
        </w:rPr>
        <w:t>Related to AIS Base Stations</w:t>
      </w:r>
    </w:p>
    <w:p w14:paraId="7B0FB827" w14:textId="58CF23F0" w:rsidR="007D058C" w:rsidRDefault="007D058C" w:rsidP="00D61E22">
      <w:pPr>
        <w:jc w:val="both"/>
        <w:rPr>
          <w:rFonts w:asciiTheme="minorHAnsi" w:hAnsiTheme="minorHAnsi" w:cstheme="minorHAnsi"/>
        </w:rPr>
      </w:pPr>
      <w:r>
        <w:rPr>
          <w:rFonts w:asciiTheme="minorHAnsi" w:hAnsiTheme="minorHAnsi" w:cstheme="minorHAnsi"/>
        </w:rPr>
        <w:t xml:space="preserve">During the pilot project setup, it was detected that for same AIS Base Stations, it was not possible to </w:t>
      </w:r>
      <w:r w:rsidR="00424EC4">
        <w:rPr>
          <w:rFonts w:asciiTheme="minorHAnsi" w:hAnsiTheme="minorHAnsi" w:cstheme="minorHAnsi"/>
        </w:rPr>
        <w:t xml:space="preserve">configure the </w:t>
      </w:r>
      <w:r>
        <w:rPr>
          <w:rFonts w:asciiTheme="minorHAnsi" w:hAnsiTheme="minorHAnsi" w:cstheme="minorHAnsi"/>
        </w:rPr>
        <w:t>reserve</w:t>
      </w:r>
      <w:r w:rsidR="00424EC4">
        <w:rPr>
          <w:rFonts w:asciiTheme="minorHAnsi" w:hAnsiTheme="minorHAnsi" w:cstheme="minorHAnsi"/>
        </w:rPr>
        <w:t>d</w:t>
      </w:r>
      <w:r>
        <w:rPr>
          <w:rFonts w:asciiTheme="minorHAnsi" w:hAnsiTheme="minorHAnsi" w:cstheme="minorHAnsi"/>
        </w:rPr>
        <w:t xml:space="preserve"> the slots</w:t>
      </w:r>
      <w:r w:rsidR="00424EC4">
        <w:rPr>
          <w:rFonts w:asciiTheme="minorHAnsi" w:hAnsiTheme="minorHAnsi" w:cstheme="minorHAnsi"/>
        </w:rPr>
        <w:t xml:space="preserve"> </w:t>
      </w:r>
      <w:r>
        <w:rPr>
          <w:rFonts w:asciiTheme="minorHAnsi" w:hAnsiTheme="minorHAnsi" w:cstheme="minorHAnsi"/>
        </w:rPr>
        <w:t>to meet the 10-seconds TTA requirement</w:t>
      </w:r>
      <w:r w:rsidR="00424EC4">
        <w:rPr>
          <w:rFonts w:asciiTheme="minorHAnsi" w:hAnsiTheme="minorHAnsi" w:cstheme="minorHAnsi"/>
        </w:rPr>
        <w:t xml:space="preserve"> (one single slot every 3 1/3 seconds)</w:t>
      </w:r>
      <w:r>
        <w:rPr>
          <w:rFonts w:asciiTheme="minorHAnsi" w:hAnsiTheme="minorHAnsi" w:cstheme="minorHAnsi"/>
        </w:rPr>
        <w:t xml:space="preserve">, </w:t>
      </w:r>
      <w:r w:rsidR="00424EC4">
        <w:rPr>
          <w:rFonts w:asciiTheme="minorHAnsi" w:hAnsiTheme="minorHAnsi" w:cstheme="minorHAnsi"/>
        </w:rPr>
        <w:t>being th</w:t>
      </w:r>
      <w:r>
        <w:rPr>
          <w:rFonts w:asciiTheme="minorHAnsi" w:hAnsiTheme="minorHAnsi" w:cstheme="minorHAnsi"/>
        </w:rPr>
        <w:t>erefore necessary</w:t>
      </w:r>
      <w:r w:rsidR="00424EC4">
        <w:rPr>
          <w:rFonts w:asciiTheme="minorHAnsi" w:hAnsiTheme="minorHAnsi" w:cstheme="minorHAnsi"/>
        </w:rPr>
        <w:t xml:space="preserve"> to increase the MT17 update rate, with the corresponding impact on the channel loading. </w:t>
      </w:r>
    </w:p>
    <w:p w14:paraId="6A9ECC7F" w14:textId="6A5A453B" w:rsidR="00727E99" w:rsidRPr="008F07D1" w:rsidRDefault="00727E99" w:rsidP="00D61E22">
      <w:pPr>
        <w:jc w:val="both"/>
        <w:rPr>
          <w:rFonts w:asciiTheme="minorHAnsi" w:hAnsiTheme="minorHAnsi" w:cstheme="minorHAnsi"/>
        </w:rPr>
      </w:pPr>
      <w:r w:rsidRPr="008F07D1">
        <w:rPr>
          <w:rFonts w:asciiTheme="minorHAnsi" w:hAnsiTheme="minorHAnsi" w:cstheme="minorHAnsi"/>
        </w:rPr>
        <w:t>AIS Base Stations</w:t>
      </w:r>
      <w:r w:rsidR="00953A3B">
        <w:rPr>
          <w:rFonts w:asciiTheme="minorHAnsi" w:hAnsiTheme="minorHAnsi" w:cstheme="minorHAnsi"/>
        </w:rPr>
        <w:t xml:space="preserve"> manufacturers should </w:t>
      </w:r>
      <w:r w:rsidRPr="008F07D1">
        <w:rPr>
          <w:rFonts w:asciiTheme="minorHAnsi" w:hAnsiTheme="minorHAnsi" w:cstheme="minorHAnsi"/>
        </w:rPr>
        <w:t xml:space="preserve">provide clear instructions about the most suitable values of some of the configuration settings, including: nominal update rate, broadcasting time, separation of the slots, reserved slots, etc. This </w:t>
      </w:r>
      <w:r w:rsidR="00424EC4">
        <w:rPr>
          <w:rFonts w:asciiTheme="minorHAnsi" w:hAnsiTheme="minorHAnsi" w:cstheme="minorHAnsi"/>
        </w:rPr>
        <w:t>could</w:t>
      </w:r>
      <w:r w:rsidR="00424EC4" w:rsidRPr="008F07D1">
        <w:rPr>
          <w:rFonts w:asciiTheme="minorHAnsi" w:hAnsiTheme="minorHAnsi" w:cstheme="minorHAnsi"/>
        </w:rPr>
        <w:t xml:space="preserve"> </w:t>
      </w:r>
      <w:r w:rsidRPr="008F07D1">
        <w:rPr>
          <w:rFonts w:asciiTheme="minorHAnsi" w:hAnsiTheme="minorHAnsi" w:cstheme="minorHAnsi"/>
        </w:rPr>
        <w:t xml:space="preserve">perhaps be addressed through one of the already established working groups in IALA </w:t>
      </w:r>
      <w:r w:rsidRPr="008F07D1">
        <w:rPr>
          <w:rFonts w:asciiTheme="minorHAnsi" w:hAnsiTheme="minorHAnsi"/>
        </w:rPr>
        <w:t>(</w:t>
      </w:r>
      <w:r w:rsidRPr="008F07D1">
        <w:rPr>
          <w:rFonts w:asciiTheme="minorHAnsi" w:hAnsiTheme="minorHAnsi" w:cs="Arial"/>
        </w:rPr>
        <w:t>Id #</w:t>
      </w:r>
      <w:r w:rsidR="00953A3B">
        <w:rPr>
          <w:rFonts w:asciiTheme="minorHAnsi" w:hAnsiTheme="minorHAnsi" w:cs="Arial"/>
        </w:rPr>
        <w:t>6</w:t>
      </w:r>
      <w:r w:rsidRPr="008F07D1">
        <w:rPr>
          <w:rFonts w:asciiTheme="minorHAnsi" w:hAnsiTheme="minorHAnsi" w:cs="Arial"/>
        </w:rPr>
        <w:t>)</w:t>
      </w:r>
      <w:r w:rsidRPr="008F07D1">
        <w:rPr>
          <w:rFonts w:asciiTheme="minorHAnsi" w:hAnsiTheme="minorHAnsi" w:cstheme="minorHAnsi"/>
        </w:rPr>
        <w:t>.</w:t>
      </w:r>
    </w:p>
    <w:p w14:paraId="5CC6FFD4" w14:textId="164A99AF" w:rsidR="00727E99" w:rsidRPr="008F07D1" w:rsidRDefault="00727E99" w:rsidP="00D61E22">
      <w:pPr>
        <w:jc w:val="both"/>
        <w:rPr>
          <w:rFonts w:asciiTheme="minorHAnsi" w:hAnsiTheme="minorHAnsi" w:cs="Arial"/>
        </w:rPr>
      </w:pPr>
      <w:r w:rsidRPr="0080717D">
        <w:rPr>
          <w:rFonts w:asciiTheme="minorHAnsi" w:hAnsiTheme="minorHAnsi" w:cs="Arial"/>
        </w:rPr>
        <w:t>On the other hand,</w:t>
      </w:r>
      <w:r w:rsidR="00424EC4" w:rsidRPr="00D61E22">
        <w:rPr>
          <w:rFonts w:asciiTheme="minorHAnsi" w:hAnsiTheme="minorHAnsi" w:cs="Arial"/>
        </w:rPr>
        <w:t xml:space="preserve"> based on feedback received from the project advisory board, it seems that </w:t>
      </w:r>
      <w:r w:rsidRPr="0080717D">
        <w:rPr>
          <w:rFonts w:asciiTheme="minorHAnsi" w:hAnsiTheme="minorHAnsi" w:cs="Arial"/>
        </w:rPr>
        <w:t xml:space="preserve">there is no body at European or International level in charge of controlling the time slots used by AIS. </w:t>
      </w:r>
      <w:r w:rsidR="00424EC4" w:rsidRPr="00D61E22">
        <w:rPr>
          <w:rFonts w:asciiTheme="minorHAnsi" w:hAnsiTheme="minorHAnsi" w:cs="Arial"/>
        </w:rPr>
        <w:t>This could be</w:t>
      </w:r>
      <w:r w:rsidRPr="0080717D">
        <w:rPr>
          <w:rFonts w:asciiTheme="minorHAnsi" w:hAnsiTheme="minorHAnsi" w:cs="Arial"/>
        </w:rPr>
        <w:t xml:space="preserve"> solved, perhaps through the creation of specific guidelines</w:t>
      </w:r>
      <w:r w:rsidR="00A40DCB">
        <w:rPr>
          <w:rFonts w:asciiTheme="minorHAnsi" w:hAnsiTheme="minorHAnsi" w:cs="Arial"/>
        </w:rPr>
        <w:t xml:space="preserve"> (Id #6)</w:t>
      </w:r>
      <w:r w:rsidRPr="0080717D">
        <w:rPr>
          <w:rFonts w:asciiTheme="minorHAnsi" w:hAnsiTheme="minorHAnsi" w:cs="Arial"/>
        </w:rPr>
        <w:t>.</w:t>
      </w:r>
      <w:r w:rsidRPr="008F07D1">
        <w:rPr>
          <w:rFonts w:asciiTheme="minorHAnsi" w:hAnsiTheme="minorHAnsi" w:cs="Arial"/>
        </w:rPr>
        <w:t xml:space="preserve"> </w:t>
      </w:r>
    </w:p>
    <w:p w14:paraId="59515E2D" w14:textId="77777777" w:rsidR="00727E99" w:rsidRPr="008F07D1" w:rsidRDefault="00727E99" w:rsidP="00727E99">
      <w:pPr>
        <w:rPr>
          <w:rFonts w:asciiTheme="minorHAnsi" w:hAnsiTheme="minorHAnsi" w:cstheme="minorHAnsi"/>
        </w:rPr>
      </w:pPr>
    </w:p>
    <w:p w14:paraId="2196CF59" w14:textId="77777777" w:rsidR="00727E99" w:rsidRPr="008F07D1" w:rsidRDefault="00727E99" w:rsidP="00D61E22">
      <w:pPr>
        <w:keepNext/>
        <w:spacing w:before="120"/>
        <w:rPr>
          <w:rFonts w:asciiTheme="minorHAnsi" w:hAnsiTheme="minorHAnsi"/>
          <w:b/>
          <w:u w:val="single"/>
        </w:rPr>
      </w:pPr>
      <w:r w:rsidRPr="008F07D1">
        <w:rPr>
          <w:rFonts w:asciiTheme="minorHAnsi" w:hAnsiTheme="minorHAnsi"/>
          <w:b/>
          <w:u w:val="single"/>
        </w:rPr>
        <w:t>Related to AIS transponders’ corrections data processing</w:t>
      </w:r>
    </w:p>
    <w:p w14:paraId="319D4B7F" w14:textId="7A9A365F" w:rsidR="00727E99" w:rsidRPr="008F07D1" w:rsidRDefault="00A41A4A" w:rsidP="00D61E22">
      <w:pPr>
        <w:jc w:val="both"/>
        <w:rPr>
          <w:rFonts w:asciiTheme="minorHAnsi" w:hAnsiTheme="minorHAnsi"/>
        </w:rPr>
      </w:pPr>
      <w:r>
        <w:rPr>
          <w:rFonts w:asciiTheme="minorHAnsi" w:hAnsiTheme="minorHAnsi"/>
        </w:rPr>
        <w:t>It is not clear</w:t>
      </w:r>
      <w:r w:rsidR="00727E99" w:rsidRPr="008F07D1">
        <w:rPr>
          <w:rFonts w:asciiTheme="minorHAnsi" w:hAnsiTheme="minorHAnsi"/>
        </w:rPr>
        <w:t xml:space="preserve"> how the transponder manages situations where there is an overlapping of corrections received from various AIS Base Stations. According to ITU-R Recommendation M.1371-5, where DGNSS corrections are received from multiple sources, the DGNSS corrections from the nearest DGNSS reference station should be used taking into account the Z count, and the health of the DGNSS reference station. However, as it has been noted in the project, not all transponders follow this recommendation and, instead, they apply different correction selection criteria. Perhaps it is also time to revisit the ITU-R Recommendation M.1371-5</w:t>
      </w:r>
      <w:r w:rsidR="00424EC4">
        <w:rPr>
          <w:rFonts w:asciiTheme="minorHAnsi" w:hAnsiTheme="minorHAnsi"/>
        </w:rPr>
        <w:t>,</w:t>
      </w:r>
      <w:r w:rsidR="00727E99" w:rsidRPr="008F07D1">
        <w:rPr>
          <w:rFonts w:asciiTheme="minorHAnsi" w:hAnsiTheme="minorHAnsi"/>
        </w:rPr>
        <w:t xml:space="preserve"> since at the time of writing it centralised architectures were not being implemented. Instead, RS were always located at the point where corrections were broadcasted. Since centralised architectures </w:t>
      </w:r>
      <w:r w:rsidR="00A40DCB">
        <w:rPr>
          <w:rFonts w:asciiTheme="minorHAnsi" w:hAnsiTheme="minorHAnsi"/>
        </w:rPr>
        <w:t xml:space="preserve">have </w:t>
      </w:r>
      <w:r w:rsidR="00727E99" w:rsidRPr="008F07D1">
        <w:rPr>
          <w:rFonts w:asciiTheme="minorHAnsi" w:hAnsiTheme="minorHAnsi"/>
        </w:rPr>
        <w:t>change</w:t>
      </w:r>
      <w:r w:rsidR="00A40DCB">
        <w:rPr>
          <w:rFonts w:asciiTheme="minorHAnsi" w:hAnsiTheme="minorHAnsi"/>
        </w:rPr>
        <w:t>d</w:t>
      </w:r>
      <w:r w:rsidR="00727E99" w:rsidRPr="008F07D1">
        <w:rPr>
          <w:rFonts w:asciiTheme="minorHAnsi" w:hAnsiTheme="minorHAnsi"/>
        </w:rPr>
        <w:t xml:space="preserve"> this paradigm, it is worth reviewing the recommendation taking into account the possibilities introduced by this architecture. </w:t>
      </w:r>
    </w:p>
    <w:p w14:paraId="7A660985" w14:textId="35D3A68E" w:rsidR="00727E99" w:rsidRPr="008F07D1" w:rsidRDefault="00727E99" w:rsidP="00727E99">
      <w:pPr>
        <w:rPr>
          <w:rFonts w:asciiTheme="minorHAnsi" w:hAnsiTheme="minorHAnsi"/>
        </w:rPr>
      </w:pPr>
      <w:r w:rsidRPr="008F07D1">
        <w:rPr>
          <w:rFonts w:asciiTheme="minorHAnsi" w:hAnsiTheme="minorHAnsi"/>
        </w:rPr>
        <w:t>It is highly recommended that this information is made available in the transponder’s datasheet (</w:t>
      </w:r>
      <w:r w:rsidRPr="008F07D1">
        <w:rPr>
          <w:rFonts w:asciiTheme="minorHAnsi" w:hAnsiTheme="minorHAnsi" w:cs="Arial"/>
        </w:rPr>
        <w:t>Id #</w:t>
      </w:r>
      <w:r w:rsidR="00A41A4A">
        <w:rPr>
          <w:rFonts w:asciiTheme="minorHAnsi" w:hAnsiTheme="minorHAnsi" w:cs="Arial"/>
        </w:rPr>
        <w:t>8</w:t>
      </w:r>
      <w:r w:rsidRPr="008F07D1">
        <w:rPr>
          <w:rFonts w:asciiTheme="minorHAnsi" w:hAnsiTheme="minorHAnsi" w:cs="Arial"/>
        </w:rPr>
        <w:t>)</w:t>
      </w:r>
      <w:r w:rsidRPr="008F07D1">
        <w:rPr>
          <w:rFonts w:asciiTheme="minorHAnsi" w:hAnsiTheme="minorHAnsi"/>
        </w:rPr>
        <w:t>.</w:t>
      </w:r>
      <w:r w:rsidRPr="008F07D1">
        <w:rPr>
          <w:rFonts w:asciiTheme="minorHAnsi" w:hAnsiTheme="minorHAnsi"/>
        </w:rPr>
        <w:tab/>
      </w:r>
    </w:p>
    <w:p w14:paraId="378830F9" w14:textId="77777777" w:rsidR="00727E99" w:rsidRPr="008F07D1" w:rsidRDefault="00727E99" w:rsidP="00727E99">
      <w:pPr>
        <w:rPr>
          <w:rFonts w:asciiTheme="minorHAnsi" w:hAnsiTheme="minorHAnsi"/>
        </w:rPr>
      </w:pPr>
    </w:p>
    <w:p w14:paraId="7ECB8B75" w14:textId="77777777" w:rsidR="00727E99" w:rsidRPr="008F07D1" w:rsidRDefault="00727E99" w:rsidP="00D61E22">
      <w:pPr>
        <w:keepNext/>
        <w:spacing w:before="120"/>
        <w:rPr>
          <w:rFonts w:asciiTheme="minorHAnsi" w:hAnsiTheme="minorHAnsi"/>
          <w:b/>
          <w:u w:val="single"/>
        </w:rPr>
      </w:pPr>
      <w:r w:rsidRPr="008F07D1">
        <w:rPr>
          <w:rFonts w:asciiTheme="minorHAnsi" w:hAnsiTheme="minorHAnsi"/>
          <w:b/>
          <w:u w:val="single"/>
        </w:rPr>
        <w:t>Related to cross-borders issues</w:t>
      </w:r>
    </w:p>
    <w:p w14:paraId="2D57B363" w14:textId="52975FD3" w:rsidR="00D1722D" w:rsidRDefault="00727E99" w:rsidP="00D61E22">
      <w:pPr>
        <w:spacing w:after="120"/>
        <w:jc w:val="both"/>
        <w:rPr>
          <w:rFonts w:asciiTheme="minorHAnsi" w:hAnsiTheme="minorHAnsi" w:cs="Arial"/>
        </w:rPr>
      </w:pPr>
      <w:r w:rsidRPr="008F07D1">
        <w:rPr>
          <w:rFonts w:asciiTheme="minorHAnsi" w:hAnsiTheme="minorHAnsi" w:cs="Arial"/>
        </w:rPr>
        <w:t xml:space="preserve">During the AB meetings it has been raised the point that users located in regions close to country borders may suffer reference station switching problems. </w:t>
      </w:r>
      <w:r w:rsidR="00D1722D">
        <w:rPr>
          <w:rFonts w:asciiTheme="minorHAnsi" w:hAnsiTheme="minorHAnsi" w:cs="Arial"/>
        </w:rPr>
        <w:t>At the country borders, mariners may use corrections br</w:t>
      </w:r>
      <w:r w:rsidR="00BD0958">
        <w:rPr>
          <w:rFonts w:asciiTheme="minorHAnsi" w:hAnsiTheme="minorHAnsi" w:cs="Arial"/>
        </w:rPr>
        <w:t>oadcasted from a country different from their own as depicted in the following figure:</w:t>
      </w:r>
    </w:p>
    <w:p w14:paraId="5DEFC64D" w14:textId="781D3607" w:rsidR="00BD0958" w:rsidRDefault="00BD0958" w:rsidP="00D61E22">
      <w:pPr>
        <w:spacing w:after="120"/>
        <w:jc w:val="both"/>
        <w:rPr>
          <w:rFonts w:asciiTheme="minorHAnsi" w:hAnsiTheme="minorHAnsi" w:cs="Arial"/>
        </w:rPr>
      </w:pPr>
      <w:r>
        <w:rPr>
          <w:rFonts w:asciiTheme="minorHAnsi" w:hAnsiTheme="minorHAnsi" w:cs="Arial"/>
          <w:noProof/>
          <w:lang w:val="es-ES" w:eastAsia="es-ES"/>
        </w:rPr>
        <w:drawing>
          <wp:inline distT="0" distB="0" distL="0" distR="0" wp14:anchorId="13AEA5A7" wp14:editId="2E15BBEE">
            <wp:extent cx="6026586" cy="2300605"/>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5342" cy="2303947"/>
                    </a:xfrm>
                    <a:prstGeom prst="rect">
                      <a:avLst/>
                    </a:prstGeom>
                    <a:noFill/>
                  </pic:spPr>
                </pic:pic>
              </a:graphicData>
            </a:graphic>
          </wp:inline>
        </w:drawing>
      </w:r>
    </w:p>
    <w:p w14:paraId="6B69E56E" w14:textId="77777777" w:rsidR="00BD0958" w:rsidRDefault="00BD0958" w:rsidP="00D61E22">
      <w:pPr>
        <w:spacing w:after="120"/>
        <w:jc w:val="both"/>
        <w:rPr>
          <w:rFonts w:asciiTheme="minorHAnsi" w:hAnsiTheme="minorHAnsi" w:cs="Arial"/>
        </w:rPr>
      </w:pPr>
    </w:p>
    <w:p w14:paraId="1443F20E" w14:textId="678772A1" w:rsidR="00BD0958" w:rsidRDefault="00BD0958" w:rsidP="00D61E22">
      <w:pPr>
        <w:spacing w:after="120"/>
        <w:jc w:val="both"/>
        <w:rPr>
          <w:rFonts w:asciiTheme="minorHAnsi" w:hAnsiTheme="minorHAnsi" w:cs="Arial"/>
        </w:rPr>
      </w:pPr>
      <w:r>
        <w:rPr>
          <w:rFonts w:asciiTheme="minorHAnsi" w:hAnsiTheme="minorHAnsi" w:cs="Arial"/>
        </w:rPr>
        <w:t>In the above figure, vessel B from country B will be using DGPS corrections A (originated in country A) despite being in country B waters. This is because the Reference Station of country A is closer t</w:t>
      </w:r>
      <w:r w:rsidR="00B5051E">
        <w:rPr>
          <w:rFonts w:asciiTheme="minorHAnsi" w:hAnsiTheme="minorHAnsi" w:cs="Arial"/>
        </w:rPr>
        <w:t>han</w:t>
      </w:r>
      <w:r>
        <w:rPr>
          <w:rFonts w:asciiTheme="minorHAnsi" w:hAnsiTheme="minorHAnsi" w:cs="Arial"/>
        </w:rPr>
        <w:t xml:space="preserve"> the one in country B.</w:t>
      </w:r>
    </w:p>
    <w:p w14:paraId="61B200E3" w14:textId="1889B3E2" w:rsidR="00727E99" w:rsidRPr="008F07D1" w:rsidRDefault="00727E99" w:rsidP="00D61E22">
      <w:pPr>
        <w:spacing w:after="120"/>
        <w:jc w:val="both"/>
        <w:rPr>
          <w:rFonts w:asciiTheme="minorHAnsi" w:hAnsiTheme="minorHAnsi" w:cs="Arial"/>
        </w:rPr>
      </w:pPr>
      <w:r w:rsidRPr="008F07D1">
        <w:rPr>
          <w:rFonts w:asciiTheme="minorHAnsi" w:hAnsiTheme="minorHAnsi" w:cs="Arial"/>
        </w:rPr>
        <w:t>The AB has suggested that a cooperation document (e.g. guidelines) dealing with country borders issues shall be considered in the short term to solve cross-border and overlapping of signal slots. There are some existing IALA recommendations addressing the topic, namely:</w:t>
      </w:r>
    </w:p>
    <w:p w14:paraId="04D8E833" w14:textId="77777777" w:rsidR="00727E99" w:rsidRPr="008F07D1" w:rsidRDefault="00727E99" w:rsidP="008C6670">
      <w:pPr>
        <w:pStyle w:val="CommentText"/>
        <w:numPr>
          <w:ilvl w:val="0"/>
          <w:numId w:val="29"/>
        </w:numPr>
        <w:jc w:val="both"/>
        <w:rPr>
          <w:rFonts w:asciiTheme="minorHAnsi" w:hAnsiTheme="minorHAnsi" w:cstheme="minorHAnsi"/>
          <w:sz w:val="22"/>
          <w:szCs w:val="22"/>
        </w:rPr>
      </w:pPr>
      <w:r w:rsidRPr="008F07D1">
        <w:rPr>
          <w:rFonts w:asciiTheme="minorHAnsi" w:hAnsiTheme="minorHAnsi" w:cstheme="minorHAnsi"/>
          <w:sz w:val="22"/>
          <w:szCs w:val="22"/>
        </w:rPr>
        <w:t>IALA Recommendation A-124 – on the AIS Service (Edition 2.1, 2012)</w:t>
      </w:r>
    </w:p>
    <w:p w14:paraId="105096F1" w14:textId="77777777" w:rsidR="00727E99" w:rsidRPr="008F07D1" w:rsidRDefault="00727E99" w:rsidP="008C6670">
      <w:pPr>
        <w:pStyle w:val="CommentText"/>
        <w:numPr>
          <w:ilvl w:val="0"/>
          <w:numId w:val="29"/>
        </w:numPr>
        <w:jc w:val="both"/>
        <w:rPr>
          <w:rFonts w:asciiTheme="minorHAnsi" w:eastAsiaTheme="minorHAnsi" w:hAnsiTheme="minorHAnsi" w:cstheme="minorHAnsi"/>
          <w:sz w:val="22"/>
          <w:szCs w:val="22"/>
        </w:rPr>
      </w:pPr>
      <w:r w:rsidRPr="008F07D1">
        <w:rPr>
          <w:rFonts w:asciiTheme="minorHAnsi" w:hAnsiTheme="minorHAnsi" w:cstheme="minorHAnsi"/>
          <w:sz w:val="22"/>
          <w:szCs w:val="22"/>
        </w:rPr>
        <w:t>IALA Recommendation A-124 Appendix 14 – FATDMA Planning and Operation of an AIS Service (Edition 2, 2011)</w:t>
      </w:r>
    </w:p>
    <w:p w14:paraId="7EBB47AE" w14:textId="77777777" w:rsidR="00727E99" w:rsidRPr="008F07D1" w:rsidRDefault="00727E99" w:rsidP="008C6670">
      <w:pPr>
        <w:pStyle w:val="ListParagraph"/>
        <w:numPr>
          <w:ilvl w:val="0"/>
          <w:numId w:val="29"/>
        </w:numPr>
        <w:autoSpaceDE w:val="0"/>
        <w:autoSpaceDN w:val="0"/>
        <w:adjustRightInd w:val="0"/>
        <w:rPr>
          <w:rFonts w:asciiTheme="minorHAnsi" w:eastAsiaTheme="minorHAnsi" w:hAnsiTheme="minorHAnsi" w:cstheme="minorHAnsi"/>
        </w:rPr>
      </w:pPr>
      <w:r w:rsidRPr="008F07D1">
        <w:rPr>
          <w:rFonts w:asciiTheme="minorHAnsi" w:eastAsiaTheme="minorHAnsi" w:hAnsiTheme="minorHAnsi" w:cstheme="minorHAnsi"/>
        </w:rPr>
        <w:t>IALA Recommendation A-124 Appendix 16 – DGNSS Broadcasts from an AIS Service (Edition 2, 2011)</w:t>
      </w:r>
    </w:p>
    <w:p w14:paraId="056F283F" w14:textId="6B7202DC" w:rsidR="00A41A4A" w:rsidRDefault="00727E99" w:rsidP="00B5051E">
      <w:pPr>
        <w:jc w:val="both"/>
        <w:rPr>
          <w:rFonts w:asciiTheme="minorHAnsi" w:hAnsiTheme="minorHAnsi" w:cstheme="minorHAnsi"/>
        </w:rPr>
      </w:pPr>
      <w:r w:rsidRPr="008F07D1">
        <w:rPr>
          <w:rFonts w:asciiTheme="minorHAnsi" w:hAnsiTheme="minorHAnsi" w:cstheme="minorHAnsi"/>
        </w:rPr>
        <w:t>However, they should be revisited and updated</w:t>
      </w:r>
      <w:r w:rsidR="00BD0958">
        <w:rPr>
          <w:rFonts w:asciiTheme="minorHAnsi" w:hAnsiTheme="minorHAnsi" w:cstheme="minorHAnsi"/>
        </w:rPr>
        <w:t xml:space="preserve"> if necessary to cover with situations such as the one depicted in the figure above</w:t>
      </w:r>
      <w:r w:rsidRPr="008F07D1">
        <w:rPr>
          <w:rFonts w:asciiTheme="minorHAnsi" w:hAnsiTheme="minorHAnsi" w:cstheme="minorHAnsi"/>
        </w:rPr>
        <w:t>.</w:t>
      </w:r>
      <w:r w:rsidR="00A41A4A" w:rsidRPr="008F07D1" w:rsidDel="00A41A4A">
        <w:rPr>
          <w:rFonts w:asciiTheme="minorHAnsi" w:hAnsiTheme="minorHAnsi" w:cstheme="minorHAnsi"/>
        </w:rPr>
        <w:t xml:space="preserve"> </w:t>
      </w:r>
    </w:p>
    <w:p w14:paraId="703DB18A" w14:textId="77777777" w:rsidR="004D1D85" w:rsidRPr="007A395D" w:rsidRDefault="004D1D85">
      <w:pPr>
        <w:pStyle w:val="Appendix"/>
        <w:numPr>
          <w:ilvl w:val="0"/>
          <w:numId w:val="0"/>
        </w:numPr>
        <w:ind w:left="360"/>
      </w:pP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BCC61" w14:textId="77777777" w:rsidR="00E25918" w:rsidRDefault="00E25918" w:rsidP="00362CD9">
      <w:r>
        <w:separator/>
      </w:r>
    </w:p>
    <w:p w14:paraId="151C7EC8" w14:textId="77777777" w:rsidR="00E25918" w:rsidRDefault="00E25918"/>
    <w:p w14:paraId="01387475" w14:textId="77777777" w:rsidR="00E25918" w:rsidRDefault="00E25918"/>
  </w:endnote>
  <w:endnote w:type="continuationSeparator" w:id="0">
    <w:p w14:paraId="234E162F" w14:textId="77777777" w:rsidR="00E25918" w:rsidRDefault="00E25918" w:rsidP="00362CD9">
      <w:r>
        <w:continuationSeparator/>
      </w:r>
    </w:p>
    <w:p w14:paraId="05B5C818" w14:textId="77777777" w:rsidR="00E25918" w:rsidRDefault="00E25918"/>
    <w:p w14:paraId="29C9EAFB" w14:textId="77777777" w:rsidR="00E25918" w:rsidRDefault="00E259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7FB37" w14:textId="7BBAD709" w:rsidR="002A307E" w:rsidRPr="00C11A09" w:rsidRDefault="00C11A09">
    <w:pPr>
      <w:pStyle w:val="Footer"/>
      <w:rPr>
        <w:rFonts w:ascii="Calibri" w:hAnsi="Calibri"/>
        <w:b/>
        <w:bCs/>
      </w:rPr>
    </w:pPr>
    <w:r w:rsidRPr="00C11A09">
      <w:rPr>
        <w:rFonts w:ascii="Calibri" w:hAnsi="Calibri"/>
        <w:bCs/>
        <w:sz w:val="18"/>
        <w:szCs w:val="18"/>
      </w:rPr>
      <w:t>Pilot project for the transmission of SBAS corrections via IALA beacons and AIS for Maritime and IWW – Main Outcomes</w:t>
    </w:r>
    <w:r w:rsidR="002A307E" w:rsidRPr="00036B9E">
      <w:rPr>
        <w:rFonts w:ascii="Calibri" w:hAnsi="Calibri"/>
      </w:rPr>
      <w:tab/>
    </w:r>
    <w:r w:rsidR="002A307E" w:rsidRPr="00036B9E">
      <w:rPr>
        <w:rFonts w:ascii="Calibri" w:hAnsi="Calibri"/>
      </w:rPr>
      <w:fldChar w:fldCharType="begin"/>
    </w:r>
    <w:r w:rsidR="002A307E" w:rsidRPr="00036B9E">
      <w:rPr>
        <w:rFonts w:ascii="Calibri" w:hAnsi="Calibri"/>
      </w:rPr>
      <w:instrText xml:space="preserve"> PAGE   \* MERGEFORMAT </w:instrText>
    </w:r>
    <w:r w:rsidR="002A307E" w:rsidRPr="00036B9E">
      <w:rPr>
        <w:rFonts w:ascii="Calibri" w:hAnsi="Calibri"/>
      </w:rPr>
      <w:fldChar w:fldCharType="separate"/>
    </w:r>
    <w:r w:rsidR="008356A1">
      <w:rPr>
        <w:rFonts w:ascii="Calibri" w:hAnsi="Calibri"/>
        <w:noProof/>
      </w:rPr>
      <w:t>5</w:t>
    </w:r>
    <w:r w:rsidR="002A307E"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9C3B9" w14:textId="77777777" w:rsidR="00E25918" w:rsidRDefault="00E25918" w:rsidP="00362CD9">
      <w:r>
        <w:separator/>
      </w:r>
    </w:p>
    <w:p w14:paraId="111649E8" w14:textId="77777777" w:rsidR="00E25918" w:rsidRDefault="00E25918"/>
    <w:p w14:paraId="1F1DF784" w14:textId="77777777" w:rsidR="00E25918" w:rsidRDefault="00E25918"/>
  </w:footnote>
  <w:footnote w:type="continuationSeparator" w:id="0">
    <w:p w14:paraId="1F7846DA" w14:textId="77777777" w:rsidR="00E25918" w:rsidRDefault="00E25918" w:rsidP="00362CD9">
      <w:r>
        <w:continuationSeparator/>
      </w:r>
    </w:p>
    <w:p w14:paraId="6442CD32" w14:textId="77777777" w:rsidR="00E25918" w:rsidRDefault="00E25918"/>
    <w:p w14:paraId="71C6D340" w14:textId="77777777" w:rsidR="00E25918" w:rsidRDefault="00E25918"/>
  </w:footnote>
  <w:footnote w:id="1">
    <w:p w14:paraId="5EDD6657" w14:textId="77777777" w:rsidR="002A307E" w:rsidRPr="007055E4" w:rsidRDefault="002A307E">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6EAC0AEB" w14:textId="77777777" w:rsidR="002A307E" w:rsidRPr="00037DF4" w:rsidRDefault="002A307E"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 w:id="3">
    <w:p w14:paraId="2288D389" w14:textId="6FAFFC7B" w:rsidR="002A307E" w:rsidRPr="00B63352" w:rsidRDefault="002A307E" w:rsidP="008C09C8">
      <w:pPr>
        <w:pStyle w:val="FootnoteText"/>
        <w:rPr>
          <w:rFonts w:asciiTheme="majorHAnsi" w:hAnsiTheme="majorHAnsi" w:cstheme="majorHAnsi"/>
          <w:sz w:val="16"/>
          <w:szCs w:val="16"/>
        </w:rPr>
      </w:pPr>
      <w:r>
        <w:rPr>
          <w:rStyle w:val="FootnoteReference"/>
        </w:rPr>
        <w:footnoteRef/>
      </w:r>
      <w:r w:rsidRPr="00B63352">
        <w:t xml:space="preserve"> </w:t>
      </w:r>
      <w:r w:rsidRPr="001F727F">
        <w:rPr>
          <w:rFonts w:asciiTheme="majorHAnsi" w:hAnsiTheme="majorHAnsi" w:cstheme="majorHAnsi"/>
          <w:sz w:val="16"/>
          <w:szCs w:val="16"/>
        </w:rPr>
        <w:t>According to</w:t>
      </w:r>
      <w:r>
        <w:rPr>
          <w:rFonts w:asciiTheme="majorHAnsi" w:hAnsiTheme="majorHAnsi" w:cstheme="majorHAnsi"/>
          <w:sz w:val="16"/>
          <w:szCs w:val="16"/>
        </w:rPr>
        <w:t xml:space="preserve"> </w:t>
      </w:r>
      <w:r w:rsidRPr="00B63352">
        <w:rPr>
          <w:rFonts w:asciiTheme="majorHAnsi" w:hAnsiTheme="majorHAnsi" w:cstheme="majorHAnsi"/>
          <w:sz w:val="16"/>
          <w:szCs w:val="16"/>
        </w:rPr>
        <w:t>IALA Guideline 1112 [</w:t>
      </w:r>
      <w:r>
        <w:rPr>
          <w:rFonts w:asciiTheme="majorHAnsi" w:hAnsiTheme="majorHAnsi" w:cstheme="majorHAnsi"/>
          <w:sz w:val="16"/>
          <w:szCs w:val="16"/>
        </w:rPr>
        <w:fldChar w:fldCharType="begin"/>
      </w:r>
      <w:r>
        <w:rPr>
          <w:rFonts w:asciiTheme="majorHAnsi" w:hAnsiTheme="majorHAnsi" w:cstheme="majorHAnsi"/>
          <w:sz w:val="16"/>
          <w:szCs w:val="16"/>
        </w:rPr>
        <w:instrText xml:space="preserve"> REF _Ref532828560 \r \h </w:instrText>
      </w:r>
      <w:r>
        <w:rPr>
          <w:rFonts w:asciiTheme="majorHAnsi" w:hAnsiTheme="majorHAnsi" w:cstheme="majorHAnsi"/>
          <w:sz w:val="16"/>
          <w:szCs w:val="16"/>
        </w:rPr>
      </w:r>
      <w:r>
        <w:rPr>
          <w:rFonts w:asciiTheme="majorHAnsi" w:hAnsiTheme="majorHAnsi" w:cstheme="majorHAnsi"/>
          <w:sz w:val="16"/>
          <w:szCs w:val="16"/>
        </w:rPr>
        <w:fldChar w:fldCharType="separate"/>
      </w:r>
      <w:r>
        <w:rPr>
          <w:rFonts w:asciiTheme="majorHAnsi" w:hAnsiTheme="majorHAnsi" w:cstheme="majorHAnsi"/>
          <w:sz w:val="16"/>
          <w:szCs w:val="16"/>
        </w:rPr>
        <w:t>RD-38</w:t>
      </w:r>
      <w:r>
        <w:rPr>
          <w:rFonts w:asciiTheme="majorHAnsi" w:hAnsiTheme="majorHAnsi" w:cstheme="majorHAnsi"/>
          <w:sz w:val="16"/>
          <w:szCs w:val="16"/>
        </w:rPr>
        <w:fldChar w:fldCharType="end"/>
      </w:r>
      <w:r>
        <w:rPr>
          <w:rFonts w:asciiTheme="majorHAnsi" w:hAnsiTheme="majorHAnsi" w:cstheme="majorHAnsi"/>
          <w:sz w:val="16"/>
          <w:szCs w:val="16"/>
        </w:rPr>
        <w:t>],</w:t>
      </w:r>
      <w:r w:rsidRPr="001F727F">
        <w:rPr>
          <w:rFonts w:asciiTheme="majorHAnsi" w:hAnsiTheme="majorHAnsi" w:cstheme="majorHAnsi"/>
          <w:sz w:val="16"/>
          <w:szCs w:val="16"/>
        </w:rPr>
        <w:t xml:space="preserve"> the continuity of each individual reference station shall be </w:t>
      </w:r>
      <w:r w:rsidRPr="00452750">
        <w:rPr>
          <w:rFonts w:asciiTheme="majorHAnsi" w:hAnsiTheme="majorHAnsi" w:cstheme="majorHAnsi"/>
          <w:b/>
          <w:sz w:val="16"/>
          <w:szCs w:val="16"/>
        </w:rPr>
        <w:t>&gt;99.95%</w:t>
      </w:r>
      <w:r w:rsidRPr="001F727F">
        <w:rPr>
          <w:rFonts w:asciiTheme="majorHAnsi" w:hAnsiTheme="majorHAnsi" w:cstheme="majorHAnsi"/>
          <w:sz w:val="16"/>
          <w:szCs w:val="16"/>
        </w:rPr>
        <w:t xml:space="preserve"> in case the DGNSS service consist</w:t>
      </w:r>
      <w:r>
        <w:rPr>
          <w:rFonts w:asciiTheme="majorHAnsi" w:hAnsiTheme="majorHAnsi" w:cstheme="majorHAnsi"/>
          <w:sz w:val="16"/>
          <w:szCs w:val="16"/>
        </w:rPr>
        <w:t>s</w:t>
      </w:r>
      <w:r w:rsidRPr="001F727F">
        <w:rPr>
          <w:rFonts w:asciiTheme="majorHAnsi" w:hAnsiTheme="majorHAnsi" w:cstheme="majorHAnsi"/>
          <w:sz w:val="16"/>
          <w:szCs w:val="16"/>
        </w:rPr>
        <w:t xml:space="preserve"> of areas of overlapping coverage.</w:t>
      </w:r>
      <w:r>
        <w:rPr>
          <w:rFonts w:asciiTheme="majorHAnsi" w:hAnsiTheme="majorHAnsi" w:cstheme="majorHAnsi"/>
          <w:sz w:val="16"/>
          <w:szCs w:val="16"/>
        </w:rPr>
        <w:t xml:space="preserve"> Due to the relatively flat terrain of Hungary and the dense network of AIS Base Stations deployed along the Hungarian stretch of the river Danube, the VHF signal of multiple AIS Base Stations can be received at any location on the river, including the capital Budapest. Therefore the continuity minimum requirement of &gt;99.95% has been applied in this pilot project. In all other pilot projects, the continuity minimum requirement is 99.97%, as recommended by </w:t>
      </w:r>
      <w:r w:rsidRPr="00B63352">
        <w:rPr>
          <w:rFonts w:asciiTheme="majorHAnsi" w:hAnsiTheme="majorHAnsi" w:cstheme="majorHAnsi"/>
          <w:sz w:val="16"/>
          <w:szCs w:val="16"/>
        </w:rPr>
        <w:t>IMO Resolution A.1046</w:t>
      </w:r>
      <w:r>
        <w:rPr>
          <w:rFonts w:asciiTheme="majorHAnsi" w:hAnsiTheme="majorHAnsi" w:cstheme="majorHAnsi"/>
          <w:sz w:val="16"/>
          <w:szCs w:val="16"/>
        </w:rPr>
        <w:t xml:space="preserve"> and </w:t>
      </w:r>
      <w:r w:rsidRPr="00B63352">
        <w:rPr>
          <w:rFonts w:asciiTheme="majorHAnsi" w:hAnsiTheme="majorHAnsi" w:cstheme="majorHAnsi"/>
          <w:sz w:val="16"/>
          <w:szCs w:val="16"/>
        </w:rPr>
        <w:t>IMO Resolution A.915</w:t>
      </w:r>
      <w:r>
        <w:rPr>
          <w:rFonts w:asciiTheme="majorHAnsi" w:hAnsiTheme="majorHAnsi" w:cstheme="majorHAns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78B87" w14:textId="77777777" w:rsidR="002A307E" w:rsidRDefault="00E25918">
    <w:pPr>
      <w:pStyle w:val="Header"/>
    </w:pPr>
    <w:r>
      <w:rPr>
        <w:noProof/>
      </w:rPr>
      <w:pict w14:anchorId="7DCFAA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C6372" w14:textId="77777777" w:rsidR="002A307E" w:rsidRDefault="002A307E" w:rsidP="007A395D">
    <w:pPr>
      <w:pStyle w:val="Header"/>
      <w:jc w:val="right"/>
    </w:pPr>
    <w:r>
      <w:rPr>
        <w:noProof/>
        <w:lang w:val="es-ES" w:eastAsia="es-ES"/>
      </w:rPr>
      <w:drawing>
        <wp:anchor distT="0" distB="0" distL="114300" distR="114300" simplePos="0" relativeHeight="251665408" behindDoc="0" locked="0" layoutInCell="1" allowOverlap="1" wp14:anchorId="22D78B95" wp14:editId="42128D33">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25918">
      <w:rPr>
        <w:noProof/>
      </w:rPr>
      <w:pict w14:anchorId="5CBFAE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BB0AD" w14:textId="77777777" w:rsidR="002A307E" w:rsidRDefault="002A307E" w:rsidP="007A395D">
    <w:pPr>
      <w:pStyle w:val="Header"/>
      <w:jc w:val="center"/>
    </w:pPr>
    <w:r>
      <w:rPr>
        <w:noProof/>
        <w:lang w:val="es-ES" w:eastAsia="es-ES"/>
      </w:rPr>
      <w:drawing>
        <wp:anchor distT="0" distB="0" distL="114300" distR="114300" simplePos="0" relativeHeight="251658240" behindDoc="0" locked="0" layoutInCell="1" allowOverlap="1" wp14:anchorId="409A11F4" wp14:editId="71AF8678">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BF5C18D" w14:textId="77777777" w:rsidR="002A307E" w:rsidRDefault="002A307E" w:rsidP="007A395D">
    <w:pPr>
      <w:pStyle w:val="Header"/>
      <w:jc w:val="center"/>
    </w:pPr>
  </w:p>
  <w:p w14:paraId="4E0F1CDB" w14:textId="77777777" w:rsidR="002A307E" w:rsidRDefault="00E25918" w:rsidP="007A395D">
    <w:pPr>
      <w:pStyle w:val="Header"/>
      <w:jc w:val="center"/>
    </w:pPr>
    <w:r>
      <w:rPr>
        <w:noProof/>
      </w:rPr>
      <w:pict w14:anchorId="75C698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93621"/>
    <w:multiLevelType w:val="hybridMultilevel"/>
    <w:tmpl w:val="0602BB12"/>
    <w:lvl w:ilvl="0" w:tplc="0C0A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A67C84"/>
    <w:multiLevelType w:val="hybridMultilevel"/>
    <w:tmpl w:val="6E02BA6A"/>
    <w:lvl w:ilvl="0" w:tplc="0C0A0003">
      <w:start w:val="1"/>
      <w:numFmt w:val="bullet"/>
      <w:lvlText w:val="o"/>
      <w:lvlJc w:val="left"/>
      <w:pPr>
        <w:ind w:left="720" w:hanging="360"/>
      </w:pPr>
      <w:rPr>
        <w:rFonts w:ascii="Courier New" w:hAnsi="Courier New" w:cs="Courier New" w:hint="default"/>
      </w:rPr>
    </w:lvl>
    <w:lvl w:ilvl="1" w:tplc="0C0A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B5B1AF2"/>
    <w:multiLevelType w:val="hybridMultilevel"/>
    <w:tmpl w:val="B734C46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F5596A"/>
    <w:multiLevelType w:val="hybridMultilevel"/>
    <w:tmpl w:val="AF24A45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64B4727"/>
    <w:multiLevelType w:val="hybridMultilevel"/>
    <w:tmpl w:val="ACD4B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4842267"/>
    <w:multiLevelType w:val="hybridMultilevel"/>
    <w:tmpl w:val="FBB869EA"/>
    <w:lvl w:ilvl="0" w:tplc="0C0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5D2298"/>
    <w:multiLevelType w:val="hybridMultilevel"/>
    <w:tmpl w:val="A236781E"/>
    <w:lvl w:ilvl="0" w:tplc="0C0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720B11"/>
    <w:multiLevelType w:val="hybridMultilevel"/>
    <w:tmpl w:val="BF84AF8A"/>
    <w:lvl w:ilvl="0" w:tplc="1876C6DE">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9F609AF"/>
    <w:multiLevelType w:val="hybridMultilevel"/>
    <w:tmpl w:val="3BE2975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AE2466E"/>
    <w:multiLevelType w:val="hybridMultilevel"/>
    <w:tmpl w:val="3F8E9F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8EB3CFE"/>
    <w:multiLevelType w:val="hybridMultilevel"/>
    <w:tmpl w:val="28A4819A"/>
    <w:lvl w:ilvl="0" w:tplc="0C0A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9FD59AC"/>
    <w:multiLevelType w:val="hybridMultilevel"/>
    <w:tmpl w:val="8A72C2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FF60F0E"/>
    <w:multiLevelType w:val="hybridMultilevel"/>
    <w:tmpl w:val="80662AB8"/>
    <w:lvl w:ilvl="0" w:tplc="1876C6DE">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3DA33D8"/>
    <w:multiLevelType w:val="multilevel"/>
    <w:tmpl w:val="0C0A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752C6853"/>
    <w:multiLevelType w:val="hybridMultilevel"/>
    <w:tmpl w:val="144CE4D8"/>
    <w:lvl w:ilvl="0" w:tplc="0C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8C0C79"/>
    <w:multiLevelType w:val="multilevel"/>
    <w:tmpl w:val="15804E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9825098"/>
    <w:multiLevelType w:val="hybridMultilevel"/>
    <w:tmpl w:val="27A086BA"/>
    <w:lvl w:ilvl="0" w:tplc="0C0A0003">
      <w:start w:val="1"/>
      <w:numFmt w:val="bullet"/>
      <w:lvlText w:val="o"/>
      <w:lvlJc w:val="left"/>
      <w:pPr>
        <w:tabs>
          <w:tab w:val="num" w:pos="720"/>
        </w:tabs>
        <w:ind w:left="720" w:hanging="360"/>
      </w:pPr>
      <w:rPr>
        <w:rFonts w:ascii="Courier New" w:hAnsi="Courier New" w:cs="Courier New" w:hint="default"/>
      </w:rPr>
    </w:lvl>
    <w:lvl w:ilvl="1" w:tplc="0FDA6054">
      <w:start w:val="83"/>
      <w:numFmt w:val="bullet"/>
      <w:lvlText w:val="o"/>
      <w:lvlJc w:val="left"/>
      <w:pPr>
        <w:tabs>
          <w:tab w:val="num" w:pos="1440"/>
        </w:tabs>
        <w:ind w:left="1440" w:hanging="360"/>
      </w:pPr>
      <w:rPr>
        <w:rFonts w:ascii="Courier New" w:hAnsi="Courier New" w:hint="default"/>
      </w:rPr>
    </w:lvl>
    <w:lvl w:ilvl="2" w:tplc="0E54F654">
      <w:start w:val="83"/>
      <w:numFmt w:val="bullet"/>
      <w:lvlText w:val="o"/>
      <w:lvlJc w:val="left"/>
      <w:pPr>
        <w:tabs>
          <w:tab w:val="num" w:pos="2160"/>
        </w:tabs>
        <w:ind w:left="2160" w:hanging="360"/>
      </w:pPr>
      <w:rPr>
        <w:rFonts w:ascii="Courier New" w:hAnsi="Courier New" w:hint="default"/>
      </w:rPr>
    </w:lvl>
    <w:lvl w:ilvl="3" w:tplc="8288FD88" w:tentative="1">
      <w:start w:val="1"/>
      <w:numFmt w:val="bullet"/>
      <w:lvlText w:val="•"/>
      <w:lvlJc w:val="left"/>
      <w:pPr>
        <w:tabs>
          <w:tab w:val="num" w:pos="2880"/>
        </w:tabs>
        <w:ind w:left="2880" w:hanging="360"/>
      </w:pPr>
      <w:rPr>
        <w:rFonts w:ascii="Arial" w:hAnsi="Arial" w:hint="default"/>
      </w:rPr>
    </w:lvl>
    <w:lvl w:ilvl="4" w:tplc="06903AAA" w:tentative="1">
      <w:start w:val="1"/>
      <w:numFmt w:val="bullet"/>
      <w:lvlText w:val="•"/>
      <w:lvlJc w:val="left"/>
      <w:pPr>
        <w:tabs>
          <w:tab w:val="num" w:pos="3600"/>
        </w:tabs>
        <w:ind w:left="3600" w:hanging="360"/>
      </w:pPr>
      <w:rPr>
        <w:rFonts w:ascii="Arial" w:hAnsi="Arial" w:hint="default"/>
      </w:rPr>
    </w:lvl>
    <w:lvl w:ilvl="5" w:tplc="F34065C8" w:tentative="1">
      <w:start w:val="1"/>
      <w:numFmt w:val="bullet"/>
      <w:lvlText w:val="•"/>
      <w:lvlJc w:val="left"/>
      <w:pPr>
        <w:tabs>
          <w:tab w:val="num" w:pos="4320"/>
        </w:tabs>
        <w:ind w:left="4320" w:hanging="360"/>
      </w:pPr>
      <w:rPr>
        <w:rFonts w:ascii="Arial" w:hAnsi="Arial" w:hint="default"/>
      </w:rPr>
    </w:lvl>
    <w:lvl w:ilvl="6" w:tplc="19901062" w:tentative="1">
      <w:start w:val="1"/>
      <w:numFmt w:val="bullet"/>
      <w:lvlText w:val="•"/>
      <w:lvlJc w:val="left"/>
      <w:pPr>
        <w:tabs>
          <w:tab w:val="num" w:pos="5040"/>
        </w:tabs>
        <w:ind w:left="5040" w:hanging="360"/>
      </w:pPr>
      <w:rPr>
        <w:rFonts w:ascii="Arial" w:hAnsi="Arial" w:hint="default"/>
      </w:rPr>
    </w:lvl>
    <w:lvl w:ilvl="7" w:tplc="D23AA8A6" w:tentative="1">
      <w:start w:val="1"/>
      <w:numFmt w:val="bullet"/>
      <w:lvlText w:val="•"/>
      <w:lvlJc w:val="left"/>
      <w:pPr>
        <w:tabs>
          <w:tab w:val="num" w:pos="5760"/>
        </w:tabs>
        <w:ind w:left="5760" w:hanging="360"/>
      </w:pPr>
      <w:rPr>
        <w:rFonts w:ascii="Arial" w:hAnsi="Arial" w:hint="default"/>
      </w:rPr>
    </w:lvl>
    <w:lvl w:ilvl="8" w:tplc="968E530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C5D5756"/>
    <w:multiLevelType w:val="hybridMultilevel"/>
    <w:tmpl w:val="7F600FA4"/>
    <w:lvl w:ilvl="0" w:tplc="0C0A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5"/>
  </w:num>
  <w:num w:numId="4">
    <w:abstractNumId w:val="10"/>
  </w:num>
  <w:num w:numId="5">
    <w:abstractNumId w:val="8"/>
  </w:num>
  <w:num w:numId="6">
    <w:abstractNumId w:val="16"/>
  </w:num>
  <w:num w:numId="7">
    <w:abstractNumId w:val="15"/>
  </w:num>
  <w:num w:numId="8">
    <w:abstractNumId w:val="23"/>
  </w:num>
  <w:num w:numId="9">
    <w:abstractNumId w:val="6"/>
  </w:num>
  <w:num w:numId="10">
    <w:abstractNumId w:val="17"/>
  </w:num>
  <w:num w:numId="11">
    <w:abstractNumId w:val="12"/>
  </w:num>
  <w:num w:numId="12">
    <w:abstractNumId w:val="11"/>
  </w:num>
  <w:num w:numId="13">
    <w:abstractNumId w:val="13"/>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3"/>
  </w:num>
  <w:num w:numId="18">
    <w:abstractNumId w:val="4"/>
  </w:num>
  <w:num w:numId="19">
    <w:abstractNumId w:val="20"/>
  </w:num>
  <w:num w:numId="20">
    <w:abstractNumId w:val="30"/>
  </w:num>
  <w:num w:numId="21">
    <w:abstractNumId w:val="31"/>
  </w:num>
  <w:num w:numId="22">
    <w:abstractNumId w:val="19"/>
  </w:num>
  <w:num w:numId="23">
    <w:abstractNumId w:val="21"/>
  </w:num>
  <w:num w:numId="24">
    <w:abstractNumId w:val="0"/>
  </w:num>
  <w:num w:numId="25">
    <w:abstractNumId w:val="2"/>
  </w:num>
  <w:num w:numId="26">
    <w:abstractNumId w:val="32"/>
  </w:num>
  <w:num w:numId="27">
    <w:abstractNumId w:val="7"/>
  </w:num>
  <w:num w:numId="28">
    <w:abstractNumId w:val="26"/>
  </w:num>
  <w:num w:numId="29">
    <w:abstractNumId w:val="18"/>
  </w:num>
  <w:num w:numId="30">
    <w:abstractNumId w:val="1"/>
  </w:num>
  <w:num w:numId="31">
    <w:abstractNumId w:val="1"/>
  </w:num>
  <w:num w:numId="32">
    <w:abstractNumId w:val="28"/>
  </w:num>
  <w:num w:numId="33">
    <w:abstractNumId w:val="28"/>
  </w:num>
  <w:num w:numId="34">
    <w:abstractNumId w:val="28"/>
  </w:num>
  <w:num w:numId="35">
    <w:abstractNumId w:val="28"/>
  </w:num>
  <w:num w:numId="36">
    <w:abstractNumId w:val="22"/>
  </w:num>
  <w:num w:numId="37">
    <w:abstractNumId w:val="5"/>
  </w:num>
  <w:num w:numId="38">
    <w:abstractNumId w:val="1"/>
  </w:num>
  <w:num w:numId="39">
    <w:abstractNumId w:val="27"/>
  </w:num>
  <w:num w:numId="40">
    <w:abstractNumId w:val="29"/>
  </w:num>
  <w:num w:numId="41">
    <w:abstractNumId w:val="24"/>
  </w:num>
  <w:num w:numId="42">
    <w:abstractNumId w:val="28"/>
  </w:num>
  <w:num w:numId="43">
    <w:abstractNumId w:val="28"/>
  </w:num>
  <w:num w:numId="44">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0AA6"/>
    <w:rsid w:val="00137240"/>
    <w:rsid w:val="00160CE1"/>
    <w:rsid w:val="00177F4D"/>
    <w:rsid w:val="00180DDA"/>
    <w:rsid w:val="001A76FE"/>
    <w:rsid w:val="001B2A2D"/>
    <w:rsid w:val="001B737D"/>
    <w:rsid w:val="001C44A3"/>
    <w:rsid w:val="001C6209"/>
    <w:rsid w:val="001C6EE2"/>
    <w:rsid w:val="001C7BE2"/>
    <w:rsid w:val="001E0E15"/>
    <w:rsid w:val="001F528A"/>
    <w:rsid w:val="001F5590"/>
    <w:rsid w:val="001F704E"/>
    <w:rsid w:val="00201722"/>
    <w:rsid w:val="0020440F"/>
    <w:rsid w:val="002125B0"/>
    <w:rsid w:val="00243228"/>
    <w:rsid w:val="00251483"/>
    <w:rsid w:val="00255CAA"/>
    <w:rsid w:val="002608E2"/>
    <w:rsid w:val="00264305"/>
    <w:rsid w:val="00265CED"/>
    <w:rsid w:val="00277462"/>
    <w:rsid w:val="002A0346"/>
    <w:rsid w:val="002A307E"/>
    <w:rsid w:val="002A4487"/>
    <w:rsid w:val="002B49E9"/>
    <w:rsid w:val="002C632E"/>
    <w:rsid w:val="002D3E8B"/>
    <w:rsid w:val="002D4575"/>
    <w:rsid w:val="002D5C0C"/>
    <w:rsid w:val="002E03D1"/>
    <w:rsid w:val="002E6B74"/>
    <w:rsid w:val="002E6FCA"/>
    <w:rsid w:val="002F59C3"/>
    <w:rsid w:val="003336CC"/>
    <w:rsid w:val="00342E22"/>
    <w:rsid w:val="00356CD0"/>
    <w:rsid w:val="00362CD9"/>
    <w:rsid w:val="003761CA"/>
    <w:rsid w:val="00380DAF"/>
    <w:rsid w:val="003972CE"/>
    <w:rsid w:val="003B28F5"/>
    <w:rsid w:val="003B538C"/>
    <w:rsid w:val="003B7B7D"/>
    <w:rsid w:val="003C54CB"/>
    <w:rsid w:val="003C7A2A"/>
    <w:rsid w:val="003D2DC1"/>
    <w:rsid w:val="003D69D0"/>
    <w:rsid w:val="003F2918"/>
    <w:rsid w:val="003F430E"/>
    <w:rsid w:val="0041088C"/>
    <w:rsid w:val="00420A38"/>
    <w:rsid w:val="00424EC4"/>
    <w:rsid w:val="00431B19"/>
    <w:rsid w:val="004520B3"/>
    <w:rsid w:val="00462FBF"/>
    <w:rsid w:val="004661AD"/>
    <w:rsid w:val="004737B9"/>
    <w:rsid w:val="004A2C0C"/>
    <w:rsid w:val="004D1D85"/>
    <w:rsid w:val="004D3C3A"/>
    <w:rsid w:val="004D4B1B"/>
    <w:rsid w:val="004D6E9B"/>
    <w:rsid w:val="004E1CD1"/>
    <w:rsid w:val="005107EB"/>
    <w:rsid w:val="00521345"/>
    <w:rsid w:val="00526DF0"/>
    <w:rsid w:val="00545CC4"/>
    <w:rsid w:val="00551FFF"/>
    <w:rsid w:val="005607A2"/>
    <w:rsid w:val="005622DA"/>
    <w:rsid w:val="0057198B"/>
    <w:rsid w:val="00573CFE"/>
    <w:rsid w:val="005969F2"/>
    <w:rsid w:val="00597FAE"/>
    <w:rsid w:val="005B32A3"/>
    <w:rsid w:val="005B5DF4"/>
    <w:rsid w:val="005B7A6E"/>
    <w:rsid w:val="005C0D44"/>
    <w:rsid w:val="005C566C"/>
    <w:rsid w:val="005C7E69"/>
    <w:rsid w:val="005D4961"/>
    <w:rsid w:val="005D5D4F"/>
    <w:rsid w:val="005E262D"/>
    <w:rsid w:val="005E2E79"/>
    <w:rsid w:val="005F23D3"/>
    <w:rsid w:val="005F7E20"/>
    <w:rsid w:val="00605E43"/>
    <w:rsid w:val="006153BB"/>
    <w:rsid w:val="00650B5D"/>
    <w:rsid w:val="006652C3"/>
    <w:rsid w:val="00677FAA"/>
    <w:rsid w:val="00681DFF"/>
    <w:rsid w:val="00691FD0"/>
    <w:rsid w:val="00692148"/>
    <w:rsid w:val="006A1A1E"/>
    <w:rsid w:val="006A35F1"/>
    <w:rsid w:val="006A7E45"/>
    <w:rsid w:val="006C5948"/>
    <w:rsid w:val="006F2A74"/>
    <w:rsid w:val="006F4F07"/>
    <w:rsid w:val="006F69CE"/>
    <w:rsid w:val="007055E4"/>
    <w:rsid w:val="007118F5"/>
    <w:rsid w:val="00712AA4"/>
    <w:rsid w:val="00713110"/>
    <w:rsid w:val="007146C4"/>
    <w:rsid w:val="00721AA1"/>
    <w:rsid w:val="00724B67"/>
    <w:rsid w:val="00727E99"/>
    <w:rsid w:val="007547F8"/>
    <w:rsid w:val="00765622"/>
    <w:rsid w:val="00770B6C"/>
    <w:rsid w:val="00783FEA"/>
    <w:rsid w:val="007865BE"/>
    <w:rsid w:val="007A395D"/>
    <w:rsid w:val="007C346C"/>
    <w:rsid w:val="007D058C"/>
    <w:rsid w:val="007D7171"/>
    <w:rsid w:val="007E09BC"/>
    <w:rsid w:val="007E3ABB"/>
    <w:rsid w:val="0080294B"/>
    <w:rsid w:val="0080717D"/>
    <w:rsid w:val="0082480E"/>
    <w:rsid w:val="0082495A"/>
    <w:rsid w:val="008356A1"/>
    <w:rsid w:val="008441C0"/>
    <w:rsid w:val="008456CE"/>
    <w:rsid w:val="00850293"/>
    <w:rsid w:val="00851373"/>
    <w:rsid w:val="00851BA6"/>
    <w:rsid w:val="0085654D"/>
    <w:rsid w:val="00860D67"/>
    <w:rsid w:val="00861160"/>
    <w:rsid w:val="0086654F"/>
    <w:rsid w:val="00875CB4"/>
    <w:rsid w:val="008937DD"/>
    <w:rsid w:val="008A356F"/>
    <w:rsid w:val="008A4653"/>
    <w:rsid w:val="008A4717"/>
    <w:rsid w:val="008A50CC"/>
    <w:rsid w:val="008B1776"/>
    <w:rsid w:val="008B63DE"/>
    <w:rsid w:val="008B71A4"/>
    <w:rsid w:val="008C0003"/>
    <w:rsid w:val="008C09C8"/>
    <w:rsid w:val="008C6670"/>
    <w:rsid w:val="008D1694"/>
    <w:rsid w:val="008D4339"/>
    <w:rsid w:val="008D79CB"/>
    <w:rsid w:val="008F07BC"/>
    <w:rsid w:val="008F07D1"/>
    <w:rsid w:val="009165C0"/>
    <w:rsid w:val="0092692B"/>
    <w:rsid w:val="0093354F"/>
    <w:rsid w:val="00943E9C"/>
    <w:rsid w:val="00945C7B"/>
    <w:rsid w:val="00953A3B"/>
    <w:rsid w:val="00953F4D"/>
    <w:rsid w:val="00960BB8"/>
    <w:rsid w:val="00964F5C"/>
    <w:rsid w:val="009831C0"/>
    <w:rsid w:val="0099161D"/>
    <w:rsid w:val="009964BA"/>
    <w:rsid w:val="009B5263"/>
    <w:rsid w:val="00A0389B"/>
    <w:rsid w:val="00A33AE9"/>
    <w:rsid w:val="00A35999"/>
    <w:rsid w:val="00A40DCB"/>
    <w:rsid w:val="00A41A4A"/>
    <w:rsid w:val="00A446C9"/>
    <w:rsid w:val="00A635D6"/>
    <w:rsid w:val="00A8553A"/>
    <w:rsid w:val="00A930C1"/>
    <w:rsid w:val="00A93AED"/>
    <w:rsid w:val="00AE1319"/>
    <w:rsid w:val="00AE144D"/>
    <w:rsid w:val="00AE34BB"/>
    <w:rsid w:val="00B226F2"/>
    <w:rsid w:val="00B274DF"/>
    <w:rsid w:val="00B40641"/>
    <w:rsid w:val="00B5051E"/>
    <w:rsid w:val="00B56BDF"/>
    <w:rsid w:val="00B65812"/>
    <w:rsid w:val="00B85CD6"/>
    <w:rsid w:val="00B90A27"/>
    <w:rsid w:val="00B9554D"/>
    <w:rsid w:val="00BB2B9F"/>
    <w:rsid w:val="00BB7D9E"/>
    <w:rsid w:val="00BC2334"/>
    <w:rsid w:val="00BD0958"/>
    <w:rsid w:val="00BD3CB8"/>
    <w:rsid w:val="00BD4E6F"/>
    <w:rsid w:val="00BE5370"/>
    <w:rsid w:val="00BF20A9"/>
    <w:rsid w:val="00BF32F0"/>
    <w:rsid w:val="00BF4DCE"/>
    <w:rsid w:val="00C05CE5"/>
    <w:rsid w:val="00C11A09"/>
    <w:rsid w:val="00C3304E"/>
    <w:rsid w:val="00C5735A"/>
    <w:rsid w:val="00C6171E"/>
    <w:rsid w:val="00C779D8"/>
    <w:rsid w:val="00CA6F2C"/>
    <w:rsid w:val="00CB2787"/>
    <w:rsid w:val="00CC20E0"/>
    <w:rsid w:val="00CC2DCC"/>
    <w:rsid w:val="00CF1871"/>
    <w:rsid w:val="00D019CE"/>
    <w:rsid w:val="00D1133E"/>
    <w:rsid w:val="00D1722D"/>
    <w:rsid w:val="00D17A34"/>
    <w:rsid w:val="00D26628"/>
    <w:rsid w:val="00D332B3"/>
    <w:rsid w:val="00D55207"/>
    <w:rsid w:val="00D55B61"/>
    <w:rsid w:val="00D61E22"/>
    <w:rsid w:val="00D81801"/>
    <w:rsid w:val="00D92B45"/>
    <w:rsid w:val="00D95962"/>
    <w:rsid w:val="00DC389B"/>
    <w:rsid w:val="00DD0411"/>
    <w:rsid w:val="00DE2FEE"/>
    <w:rsid w:val="00E00BE9"/>
    <w:rsid w:val="00E22A11"/>
    <w:rsid w:val="00E25918"/>
    <w:rsid w:val="00E31E5C"/>
    <w:rsid w:val="00E44DD2"/>
    <w:rsid w:val="00E5019B"/>
    <w:rsid w:val="00E558C3"/>
    <w:rsid w:val="00E55927"/>
    <w:rsid w:val="00E55BC2"/>
    <w:rsid w:val="00E731C3"/>
    <w:rsid w:val="00E86CDD"/>
    <w:rsid w:val="00E912A6"/>
    <w:rsid w:val="00E97303"/>
    <w:rsid w:val="00EA4844"/>
    <w:rsid w:val="00EA4D9C"/>
    <w:rsid w:val="00EA5A97"/>
    <w:rsid w:val="00EB75EE"/>
    <w:rsid w:val="00EC0DB9"/>
    <w:rsid w:val="00ED36FD"/>
    <w:rsid w:val="00EE4C1D"/>
    <w:rsid w:val="00EF3685"/>
    <w:rsid w:val="00F04350"/>
    <w:rsid w:val="00F12E00"/>
    <w:rsid w:val="00F133DB"/>
    <w:rsid w:val="00F159EB"/>
    <w:rsid w:val="00F25BF4"/>
    <w:rsid w:val="00F267DB"/>
    <w:rsid w:val="00F36489"/>
    <w:rsid w:val="00F4308B"/>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A0E1927"/>
  <w15:docId w15:val="{F0704130-B48B-4DDD-802B-16E42056B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aliases w:val="PA Chapter,h1,1,P1=1,First level,T1,Level 1,H1,Level a,mainchap,aa,Kapitel,Heading 1n,Heading 1n1,H11,h11,aa1,mainchap1,Kapitel1,Section Head,l1,Section Head1,l11,Appendix 11,h12,Section Head2,l12,Appendix 12,heading 1,Überschrift1,Titolo1,I1"/>
    <w:basedOn w:val="Normal"/>
    <w:next w:val="BodyText"/>
    <w:link w:val="Heading1Char"/>
    <w:uiPriority w:val="9"/>
    <w:qFormat/>
    <w:rsid w:val="00ED36FD"/>
    <w:pPr>
      <w:keepNext/>
      <w:numPr>
        <w:numId w:val="16"/>
      </w:numPr>
      <w:spacing w:before="240" w:after="240"/>
      <w:outlineLvl w:val="0"/>
    </w:pPr>
    <w:rPr>
      <w:rFonts w:ascii="Calibri" w:hAnsi="Calibri"/>
      <w:b/>
      <w:caps/>
      <w:color w:val="0070C0"/>
      <w:kern w:val="28"/>
      <w:lang w:eastAsia="de-DE"/>
    </w:rPr>
  </w:style>
  <w:style w:type="paragraph" w:styleId="Heading2">
    <w:name w:val="heading 2"/>
    <w:aliases w:val="PA Major Section,headline,h,h2,H2dex,H21,Second level,T2,Normal Heading 2,Normal Heading 1,l2,list + change bar,X,H2,sub-sect,21,sub-sect1,heading 2,22,sub-sect2,211,sub-sect11,heading 21,23,sub-sect3,212,sub-sect12,heading 22,24,sub-sect4,213"/>
    <w:basedOn w:val="Normal"/>
    <w:next w:val="BodyText"/>
    <w:link w:val="Heading2Char"/>
    <w:uiPriority w:val="9"/>
    <w:qFormat/>
    <w:rsid w:val="00605E43"/>
    <w:pPr>
      <w:numPr>
        <w:ilvl w:val="1"/>
        <w:numId w:val="16"/>
      </w:numPr>
      <w:spacing w:before="120" w:after="120"/>
      <w:outlineLvl w:val="1"/>
    </w:pPr>
    <w:rPr>
      <w:rFonts w:ascii="Calibri" w:hAnsi="Calibri"/>
      <w:b/>
      <w:color w:val="0070C0"/>
      <w:sz w:val="24"/>
      <w:szCs w:val="24"/>
    </w:rPr>
  </w:style>
  <w:style w:type="paragraph" w:styleId="Heading3">
    <w:name w:val="heading 3"/>
    <w:aliases w:val="PA Minor Section,h3,heading 3,b,2,3 bullet,SECOND,B1,b1,Second,bullet pt,3,H3dex,Third level,T3,l3,Guide 3,Req 3,sub-sub,31,sub-sub1,32,sub-sub2,33,sub-sub3,34,sub-sub4,311,sub-sub11,heading 31,35,sub-sub5,312,sub-sub12,heading 32,321,331,341"/>
    <w:basedOn w:val="Normal"/>
    <w:next w:val="BodyText"/>
    <w:link w:val="Heading3Char"/>
    <w:uiPriority w:val="9"/>
    <w:qFormat/>
    <w:rsid w:val="00F36489"/>
    <w:pPr>
      <w:keepNext/>
      <w:numPr>
        <w:ilvl w:val="2"/>
        <w:numId w:val="16"/>
      </w:numPr>
      <w:spacing w:before="120" w:after="120"/>
      <w:outlineLvl w:val="2"/>
    </w:pPr>
    <w:rPr>
      <w:rFonts w:asciiTheme="minorHAnsi" w:hAnsiTheme="minorHAnsi"/>
      <w:szCs w:val="20"/>
      <w:lang w:eastAsia="de-DE"/>
    </w:rPr>
  </w:style>
  <w:style w:type="paragraph" w:styleId="Heading4">
    <w:name w:val="heading 4"/>
    <w:aliases w:val="PA Micro Section,4,H4,Fourth level,T4,EIVIS Title 4,h4,OT Hdg 4,OT Hdg 41,3559Heading 4,s4,Unterunterabschnitt,4m,Heading 4n,s41,H41,T41,Unterunterabschnitt1,4m1,Bloc,Titre 4 a),l4,mh1l,Module heading 1 large (18 points),l41,mh1l1"/>
    <w:basedOn w:val="Normal"/>
    <w:next w:val="BodyTextIndent"/>
    <w:link w:val="Heading4Char"/>
    <w:uiPriority w:val="9"/>
    <w:qFormat/>
    <w:rsid w:val="00D332B3"/>
    <w:pPr>
      <w:keepNext/>
      <w:numPr>
        <w:ilvl w:val="3"/>
        <w:numId w:val="16"/>
      </w:numPr>
      <w:spacing w:before="120" w:after="120"/>
      <w:outlineLvl w:val="3"/>
    </w:pPr>
    <w:rPr>
      <w:szCs w:val="20"/>
      <w:lang w:val="en-US" w:eastAsia="de-DE"/>
    </w:rPr>
  </w:style>
  <w:style w:type="paragraph" w:styleId="Heading5">
    <w:name w:val="heading 5"/>
    <w:aliases w:val="PA Pico Section,5,Title 5,annexe,annexe ntc,h5,OT Hdg 5,OT Hdg 51,mh2,Module heading 2,mh21,Module heading 21,mh22,Module heading 22,Überschrift 51,H51,h51,Überschrift 511,H52,h52,Überschrift 512,H53,h53,Überschrift 513,H54,h54,H55,h55,H511,H5"/>
    <w:basedOn w:val="Normal"/>
    <w:next w:val="Normal"/>
    <w:link w:val="Heading5Char"/>
    <w:uiPriority w:val="9"/>
    <w:qFormat/>
    <w:rsid w:val="00D332B3"/>
    <w:pPr>
      <w:numPr>
        <w:ilvl w:val="4"/>
        <w:numId w:val="16"/>
      </w:numPr>
      <w:spacing w:before="240" w:after="120"/>
      <w:outlineLvl w:val="4"/>
    </w:pPr>
    <w:rPr>
      <w:rFonts w:eastAsia="Times New Roman" w:cs="Times New Roman"/>
      <w:szCs w:val="20"/>
      <w:lang w:val="de-DE" w:eastAsia="de-DE"/>
    </w:rPr>
  </w:style>
  <w:style w:type="paragraph" w:styleId="Heading6">
    <w:name w:val="heading 6"/>
    <w:aliases w:val="PA Appendix,Title 6,Titre 5 ntc,H6,Überschrift 61,Überschrift 611,Überschrift 612,Überschrift 613,Überschrift 614,Überschrift 615,Überschrift 6111,Überschrift 6121,Überschrift 6131,Überschrift 6141,Überschrift 616,Überschrift 6112,h6,H61,cnp"/>
    <w:basedOn w:val="Normal"/>
    <w:next w:val="BodyTextIndent2"/>
    <w:link w:val="Heading6Char"/>
    <w:uiPriority w:val="9"/>
    <w:qFormat/>
    <w:rsid w:val="00D332B3"/>
    <w:pPr>
      <w:numPr>
        <w:ilvl w:val="5"/>
        <w:numId w:val="16"/>
      </w:numPr>
      <w:tabs>
        <w:tab w:val="left" w:pos="1418"/>
      </w:tabs>
      <w:spacing w:before="120" w:after="120"/>
      <w:outlineLvl w:val="5"/>
    </w:pPr>
    <w:rPr>
      <w:szCs w:val="20"/>
      <w:lang w:val="de-DE" w:eastAsia="de-DE"/>
    </w:rPr>
  </w:style>
  <w:style w:type="paragraph" w:styleId="Heading7">
    <w:name w:val="heading 7"/>
    <w:aliases w:val="PA Appendix Major,Title 7,App Heading1,h7,Überschrift 71,Überschrift 711,h71,Überschrift 712,Überschrift 7111,h72,Überschrift 713,Überschrift 7112,h73,Überschrift 714,Überschrift 7113,h74,Überschrift 715,Überschrift 7114,h75,7"/>
    <w:basedOn w:val="Normal"/>
    <w:next w:val="BodyTextIndent2"/>
    <w:link w:val="Heading7Char"/>
    <w:uiPriority w:val="9"/>
    <w:qFormat/>
    <w:rsid w:val="00D332B3"/>
    <w:pPr>
      <w:numPr>
        <w:ilvl w:val="6"/>
        <w:numId w:val="16"/>
      </w:numPr>
      <w:tabs>
        <w:tab w:val="left" w:pos="1701"/>
      </w:tabs>
      <w:spacing w:before="120" w:after="120"/>
      <w:outlineLvl w:val="6"/>
    </w:pPr>
    <w:rPr>
      <w:szCs w:val="20"/>
      <w:lang w:val="de-DE" w:eastAsia="de-DE"/>
    </w:rPr>
  </w:style>
  <w:style w:type="paragraph" w:styleId="Heading8">
    <w:name w:val="heading 8"/>
    <w:aliases w:val="PA Appendix Minor,(table no.),(requirement),Figure Title,Figure Title1,Appendix Heading 11"/>
    <w:basedOn w:val="Normal"/>
    <w:next w:val="BodyTextIndent2"/>
    <w:link w:val="Heading8Char"/>
    <w:uiPriority w:val="9"/>
    <w:qFormat/>
    <w:rsid w:val="00D332B3"/>
    <w:pPr>
      <w:numPr>
        <w:ilvl w:val="7"/>
        <w:numId w:val="16"/>
      </w:numPr>
      <w:tabs>
        <w:tab w:val="left" w:pos="1985"/>
      </w:tabs>
      <w:spacing w:before="120" w:after="120"/>
      <w:outlineLvl w:val="7"/>
    </w:pPr>
    <w:rPr>
      <w:szCs w:val="20"/>
      <w:lang w:val="de-DE" w:eastAsia="de-DE"/>
    </w:rPr>
  </w:style>
  <w:style w:type="paragraph" w:styleId="Heading9">
    <w:name w:val="heading 9"/>
    <w:aliases w:val="(figure no.)"/>
    <w:basedOn w:val="Normal"/>
    <w:next w:val="BodyTextIndent2"/>
    <w:link w:val="Heading9Char"/>
    <w:uiPriority w:val="9"/>
    <w:qFormat/>
    <w:rsid w:val="00D332B3"/>
    <w:pPr>
      <w:numPr>
        <w:ilvl w:val="8"/>
        <w:numId w:val="16"/>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 Chapter Char,h1 Char,1 Char,P1=1 Char,First level Char,T1 Char,Level 1 Char,H1 Char,Level a Char,mainchap Char,aa Char,Kapitel Char,Heading 1n Char,Heading 1n1 Char,H11 Char,h11 Char,aa1 Char,mainchap1 Char,Kapitel1 Char,l1 Char"/>
    <w:link w:val="Heading1"/>
    <w:uiPriority w:val="9"/>
    <w:rsid w:val="00ED36FD"/>
    <w:rPr>
      <w:rFonts w:cs="Calibri"/>
      <w:b/>
      <w:caps/>
      <w:color w:val="0070C0"/>
      <w:kern w:val="28"/>
      <w:sz w:val="22"/>
      <w:szCs w:val="22"/>
      <w:lang w:eastAsia="de-DE"/>
    </w:rPr>
  </w:style>
  <w:style w:type="character" w:customStyle="1" w:styleId="Heading2Char">
    <w:name w:val="Heading 2 Char"/>
    <w:aliases w:val="PA Major Section Char,headline Char,h Char,h2 Char,H2dex Char,H21 Char,Second level Char,T2 Char,Normal Heading 2 Char,Normal Heading 1 Char,l2 Char,list + change bar Char,X Char,H2 Char,sub-sect Char,21 Char,sub-sect1 Char,heading 2 Char"/>
    <w:link w:val="Heading2"/>
    <w:uiPriority w:val="9"/>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3"/>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aliases w:val="PA Minor Section Char,h3 Char,heading 3 Char,b Char,2 Char,3 bullet Char,SECOND Char,B1 Char,b1 Char,Second Char,bullet pt Char,3 Char,H3dex Char,Third level Char,T3 Char,l3 Char,Guide 3 Char,Req 3 Char,sub-sub Char,31 Char,sub-sub1 Char"/>
    <w:link w:val="Heading3"/>
    <w:uiPriority w:val="9"/>
    <w:rsid w:val="00F36489"/>
    <w:rPr>
      <w:rFonts w:asciiTheme="minorHAnsi" w:hAnsiTheme="minorHAnsi" w:cs="Calibri"/>
      <w:sz w:val="22"/>
      <w:lang w:eastAsia="de-DE"/>
    </w:rPr>
  </w:style>
  <w:style w:type="character" w:customStyle="1" w:styleId="Heading4Char">
    <w:name w:val="Heading 4 Char"/>
    <w:aliases w:val="PA Micro Section Char,4 Char,H4 Char,Fourth level Char,T4 Char,EIVIS Title 4 Char,h4 Char,OT Hdg 4 Char,OT Hdg 41 Char,3559Heading 4 Char,s4 Char,Unterunterabschnitt Char,4m Char,Heading 4n Char,s41 Char,H41 Char,T41 Char,4m1 Char,l4 Char"/>
    <w:link w:val="Heading4"/>
    <w:uiPriority w:val="9"/>
    <w:rsid w:val="00E00BE9"/>
    <w:rPr>
      <w:rFonts w:ascii="Arial" w:hAnsi="Arial" w:cs="Calibri"/>
      <w:sz w:val="22"/>
      <w:lang w:val="en-US" w:eastAsia="de-DE"/>
    </w:rPr>
  </w:style>
  <w:style w:type="character" w:customStyle="1" w:styleId="Heading5Char">
    <w:name w:val="Heading 5 Char"/>
    <w:aliases w:val="PA Pico Section Char,5 Char,Title 5 Char,annexe Char,annexe ntc Char,h5 Char,OT Hdg 5 Char,OT Hdg 51 Char,mh2 Char,Module heading 2 Char,mh21 Char,Module heading 21 Char,mh22 Char,Module heading 22 Char,Überschrift 51 Char,H51 Char"/>
    <w:link w:val="Heading5"/>
    <w:uiPriority w:val="9"/>
    <w:rsid w:val="00D332B3"/>
    <w:rPr>
      <w:rFonts w:ascii="Arial" w:eastAsia="Times New Roman" w:hAnsi="Arial"/>
      <w:sz w:val="22"/>
      <w:lang w:val="de-DE" w:eastAsia="de-DE"/>
    </w:rPr>
  </w:style>
  <w:style w:type="character" w:customStyle="1" w:styleId="Heading6Char">
    <w:name w:val="Heading 6 Char"/>
    <w:aliases w:val="PA Appendix Char,Title 6 Char,Titre 5 ntc Char,H6 Char,Überschrift 61 Char,Überschrift 611 Char,Überschrift 612 Char,Überschrift 613 Char,Überschrift 614 Char,Überschrift 615 Char,Überschrift 6111 Char,Überschrift 6121 Char,h6 Char"/>
    <w:link w:val="Heading6"/>
    <w:uiPriority w:val="9"/>
    <w:rsid w:val="00E00BE9"/>
    <w:rPr>
      <w:rFonts w:ascii="Arial" w:hAnsi="Arial" w:cs="Calibri"/>
      <w:sz w:val="22"/>
      <w:lang w:val="de-DE" w:eastAsia="de-DE"/>
    </w:rPr>
  </w:style>
  <w:style w:type="character" w:customStyle="1" w:styleId="Heading7Char">
    <w:name w:val="Heading 7 Char"/>
    <w:aliases w:val="PA Appendix Major Char,Title 7 Char,App Heading1 Char,h7 Char,Überschrift 71 Char,Überschrift 711 Char,h71 Char,Überschrift 712 Char,Überschrift 7111 Char,h72 Char,Überschrift 713 Char,Überschrift 7112 Char,h73 Char,Überschrift 714 Char"/>
    <w:link w:val="Heading7"/>
    <w:uiPriority w:val="9"/>
    <w:rsid w:val="00E00BE9"/>
    <w:rPr>
      <w:rFonts w:ascii="Arial" w:hAnsi="Arial" w:cs="Calibri"/>
      <w:sz w:val="22"/>
      <w:lang w:val="de-DE" w:eastAsia="de-DE"/>
    </w:rPr>
  </w:style>
  <w:style w:type="character" w:customStyle="1" w:styleId="Heading8Char">
    <w:name w:val="Heading 8 Char"/>
    <w:aliases w:val="PA Appendix Minor Char,(table no.) Char,(requirement) Char,Figure Title Char,Figure Title1 Char,Appendix Heading 11 Char"/>
    <w:link w:val="Heading8"/>
    <w:uiPriority w:val="9"/>
    <w:rsid w:val="00E00BE9"/>
    <w:rPr>
      <w:rFonts w:ascii="Arial" w:hAnsi="Arial" w:cs="Calibri"/>
      <w:sz w:val="22"/>
      <w:lang w:val="de-DE" w:eastAsia="de-DE"/>
    </w:rPr>
  </w:style>
  <w:style w:type="character" w:customStyle="1" w:styleId="Heading9Char">
    <w:name w:val="Heading 9 Char"/>
    <w:aliases w:val="(figure no.) Char"/>
    <w:link w:val="Heading9"/>
    <w:uiPriority w:val="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GSA List,S-P puce2,LTP - List,bei normal,Párrafo de lista segundo nivel CAP 3,Bullet List Paragraph,Lettre d'introduction,Numbered paragraph 1,Paragrafo elenco,1st level - Bullet List Paragraph,Heading 4 bullet,List Paragraph1,lp1,p"/>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Caption">
    <w:name w:val="caption"/>
    <w:aliases w:val="Figura MFF,CaptionCFMU,Figure-caption,CAPTION,Figure Caption,Figure-caption1,CAPTION1,Figure Caption1,Figure-caption2,CAPTION2,Figure Caption2,Figure-caption3,CAPTION3,Figure Caption3,Figure-caption4,CAPTION4,Figure Caption4,c,Table,Legend"/>
    <w:basedOn w:val="Normal"/>
    <w:next w:val="Normal"/>
    <w:link w:val="CaptionChar"/>
    <w:unhideWhenUsed/>
    <w:qFormat/>
    <w:rsid w:val="007865BE"/>
    <w:pPr>
      <w:spacing w:before="120" w:after="240"/>
      <w:jc w:val="center"/>
    </w:pPr>
    <w:rPr>
      <w:rFonts w:eastAsia="Times New Roman" w:cs="Times New Roman"/>
      <w:bCs/>
      <w:i/>
      <w:kern w:val="28"/>
      <w:sz w:val="18"/>
      <w:szCs w:val="18"/>
      <w:lang w:eastAsia="en-US"/>
    </w:rPr>
  </w:style>
  <w:style w:type="character" w:customStyle="1" w:styleId="CaptionChar">
    <w:name w:val="Caption Char"/>
    <w:aliases w:val="Figura MFF Char,CaptionCFMU Char,Figure-caption Char,CAPTION Char,Figure Caption Char,Figure-caption1 Char,CAPTION1 Char,Figure Caption1 Char,Figure-caption2 Char,CAPTION2 Char,Figure Caption2 Char,Figure-caption3 Char,CAPTION3 Char,c Char"/>
    <w:link w:val="Caption"/>
    <w:uiPriority w:val="99"/>
    <w:locked/>
    <w:rsid w:val="007865BE"/>
    <w:rPr>
      <w:rFonts w:ascii="Arial" w:eastAsia="Times New Roman" w:hAnsi="Arial"/>
      <w:bCs/>
      <w:i/>
      <w:kern w:val="28"/>
      <w:sz w:val="18"/>
      <w:szCs w:val="18"/>
      <w:lang w:eastAsia="en-US"/>
    </w:rPr>
  </w:style>
  <w:style w:type="character" w:customStyle="1" w:styleId="ListParagraphChar">
    <w:name w:val="List Paragraph Char"/>
    <w:aliases w:val="GSA List Char,S-P puce2 Char,LTP - List Char,bei normal Char,Párrafo de lista segundo nivel CAP 3 Char,Bullet List Paragraph Char,Lettre d'introduction Char,Numbered paragraph 1 Char,Paragrafo elenco Char,Heading 4 bullet Char,p Char"/>
    <w:basedOn w:val="DefaultParagraphFont"/>
    <w:link w:val="ListParagraph"/>
    <w:uiPriority w:val="34"/>
    <w:qFormat/>
    <w:rsid w:val="00727E99"/>
    <w:rPr>
      <w:rFonts w:ascii="Arial" w:hAnsi="Arial" w:cs="Calibri"/>
      <w:sz w:val="22"/>
      <w:szCs w:val="22"/>
    </w:rPr>
  </w:style>
  <w:style w:type="paragraph" w:styleId="Revision">
    <w:name w:val="Revision"/>
    <w:hidden/>
    <w:uiPriority w:val="99"/>
    <w:semiHidden/>
    <w:rsid w:val="004A2C0C"/>
    <w:rPr>
      <w:rFonts w:ascii="Arial" w:hAnsi="Arial" w:cs="Calibri"/>
      <w:sz w:val="22"/>
      <w:szCs w:val="22"/>
    </w:rPr>
  </w:style>
  <w:style w:type="paragraph" w:styleId="DocumentMap">
    <w:name w:val="Document Map"/>
    <w:basedOn w:val="Normal"/>
    <w:link w:val="DocumentMapChar"/>
    <w:uiPriority w:val="99"/>
    <w:semiHidden/>
    <w:unhideWhenUsed/>
    <w:rsid w:val="00160CE1"/>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60CE1"/>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367190">
      <w:bodyDiv w:val="1"/>
      <w:marLeft w:val="0"/>
      <w:marRight w:val="0"/>
      <w:marTop w:val="0"/>
      <w:marBottom w:val="0"/>
      <w:divBdr>
        <w:top w:val="none" w:sz="0" w:space="0" w:color="auto"/>
        <w:left w:val="none" w:sz="0" w:space="0" w:color="auto"/>
        <w:bottom w:val="none" w:sz="0" w:space="0" w:color="auto"/>
        <w:right w:val="none" w:sz="0" w:space="0" w:color="auto"/>
      </w:divBdr>
    </w:div>
    <w:div w:id="1157383308">
      <w:bodyDiv w:val="1"/>
      <w:marLeft w:val="0"/>
      <w:marRight w:val="0"/>
      <w:marTop w:val="0"/>
      <w:marBottom w:val="0"/>
      <w:divBdr>
        <w:top w:val="none" w:sz="0" w:space="0" w:color="auto"/>
        <w:left w:val="none" w:sz="0" w:space="0" w:color="auto"/>
        <w:bottom w:val="none" w:sz="0" w:space="0" w:color="auto"/>
        <w:right w:val="none" w:sz="0" w:space="0" w:color="auto"/>
      </w:divBdr>
    </w:div>
    <w:div w:id="206328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5D355-A5D5-4E66-A8EC-565CE0BF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3042</Words>
  <Characters>17340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4</cp:revision>
  <dcterms:created xsi:type="dcterms:W3CDTF">2019-01-25T11:41:00Z</dcterms:created>
  <dcterms:modified xsi:type="dcterms:W3CDTF">2019-02-28T01:33:00Z</dcterms:modified>
</cp:coreProperties>
</file>